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11CF4">
      <w:pPr>
        <w:spacing w:line="0" w:lineRule="atLeast"/>
        <w:jc w:val="left"/>
        <w:rPr>
          <w:rFonts w:hint="default" w:ascii="Times New Roman" w:hAnsi="Times New Roman" w:eastAsia="黑体" w:cs="Times New Roman"/>
          <w:b/>
          <w:color w:val="000000" w:themeColor="text1"/>
          <w:sz w:val="44"/>
          <w:szCs w:val="44"/>
          <w:highlight w:val="none"/>
          <w:lang w:eastAsia="zh-CN"/>
          <w14:textFill>
            <w14:solidFill>
              <w14:schemeClr w14:val="tx1"/>
            </w14:solidFill>
          </w14:textFill>
        </w:rPr>
      </w:pPr>
      <w:bookmarkStart w:id="1" w:name="_GoBack"/>
      <w:bookmarkEnd w:id="1"/>
    </w:p>
    <w:p w14:paraId="577EC9B9">
      <w:pPr>
        <w:spacing w:line="0" w:lineRule="atLeast"/>
        <w:jc w:val="center"/>
        <w:rPr>
          <w:rFonts w:hint="default" w:ascii="Times New Roman" w:hAnsi="Times New Roman" w:eastAsia="黑体" w:cs="Times New Roman"/>
          <w:b/>
          <w:color w:val="000000" w:themeColor="text1"/>
          <w:sz w:val="44"/>
          <w:szCs w:val="44"/>
          <w:highlight w:val="none"/>
          <w14:textFill>
            <w14:solidFill>
              <w14:schemeClr w14:val="tx1"/>
            </w14:solidFill>
          </w14:textFill>
        </w:rPr>
      </w:pPr>
      <w:r>
        <w:rPr>
          <w:rFonts w:hint="default" w:ascii="Times New Roman" w:hAnsi="Times New Roman" w:eastAsia="黑体" w:cs="Times New Roman"/>
          <w:b/>
          <w:color w:val="000000" w:themeColor="text1"/>
          <w:sz w:val="44"/>
          <w:szCs w:val="44"/>
          <w:highlight w:val="none"/>
          <w14:textFill>
            <w14:solidFill>
              <w14:schemeClr w14:val="tx1"/>
            </w14:solidFill>
          </w14:textFill>
        </w:rPr>
        <w:t>上海证券交易所发行上市审核业务指南第4号——</w:t>
      </w:r>
    </w:p>
    <w:p w14:paraId="76FCC857">
      <w:pPr>
        <w:spacing w:line="0" w:lineRule="atLeast"/>
        <w:jc w:val="center"/>
        <w:rPr>
          <w:rFonts w:hint="default" w:ascii="Times New Roman" w:hAnsi="Times New Roman" w:eastAsia="黑体" w:cs="Times New Roman"/>
          <w:b/>
          <w:color w:val="000000" w:themeColor="text1"/>
          <w:sz w:val="44"/>
          <w:szCs w:val="44"/>
          <w:highlight w:val="none"/>
          <w14:textFill>
            <w14:solidFill>
              <w14:schemeClr w14:val="tx1"/>
            </w14:solidFill>
          </w14:textFill>
        </w:rPr>
      </w:pPr>
      <w:r>
        <w:rPr>
          <w:rFonts w:hint="default" w:ascii="Times New Roman" w:hAnsi="Times New Roman" w:eastAsia="黑体" w:cs="Times New Roman"/>
          <w:b/>
          <w:color w:val="000000" w:themeColor="text1"/>
          <w:sz w:val="44"/>
          <w:szCs w:val="44"/>
          <w:highlight w:val="none"/>
          <w14:textFill>
            <w14:solidFill>
              <w14:schemeClr w14:val="tx1"/>
            </w14:solidFill>
          </w14:textFill>
        </w:rPr>
        <w:t>常见问题的信息披露和核查要求自查表</w:t>
      </w:r>
    </w:p>
    <w:p w14:paraId="47C886DB">
      <w:pPr>
        <w:spacing w:line="0" w:lineRule="atLeast"/>
        <w:jc w:val="center"/>
        <w:rPr>
          <w:rFonts w:hint="default" w:ascii="Times New Roman" w:hAnsi="Times New Roman" w:eastAsia="黑体" w:cs="Times New Roman"/>
          <w:b/>
          <w:color w:val="000000" w:themeColor="text1"/>
          <w:sz w:val="44"/>
          <w:szCs w:val="44"/>
          <w:highlight w:val="none"/>
          <w:lang w:eastAsia="zh-CN"/>
          <w14:textFill>
            <w14:solidFill>
              <w14:schemeClr w14:val="tx1"/>
            </w14:solidFill>
          </w14:textFill>
        </w:rPr>
      </w:pPr>
      <w:r>
        <w:rPr>
          <w:rFonts w:hint="default" w:ascii="Times New Roman" w:hAnsi="Times New Roman" w:eastAsia="黑体" w:cs="Times New Roman"/>
          <w:b/>
          <w:color w:val="000000" w:themeColor="text1"/>
          <w:sz w:val="44"/>
          <w:szCs w:val="44"/>
          <w:highlight w:val="none"/>
          <w14:textFill>
            <w14:solidFill>
              <w14:schemeClr w14:val="tx1"/>
            </w14:solidFill>
          </w14:textFill>
        </w:rPr>
        <w:t>第五号 上市公司重大资产重组</w:t>
      </w:r>
      <w:r>
        <w:rPr>
          <w:rFonts w:hint="default" w:ascii="Times New Roman" w:hAnsi="Times New Roman" w:eastAsia="黑体" w:cs="Times New Roman"/>
          <w:b/>
          <w:color w:val="000000" w:themeColor="text1"/>
          <w:sz w:val="44"/>
          <w:szCs w:val="44"/>
          <w:highlight w:val="none"/>
          <w:lang w:eastAsia="zh-CN"/>
          <w14:textFill>
            <w14:solidFill>
              <w14:schemeClr w14:val="tx1"/>
            </w14:solidFill>
          </w14:textFill>
        </w:rPr>
        <w:t>（</w:t>
      </w:r>
      <w:r>
        <w:rPr>
          <w:rFonts w:hint="default" w:ascii="Times New Roman" w:hAnsi="Times New Roman" w:eastAsia="黑体" w:cs="Times New Roman"/>
          <w:b/>
          <w:color w:val="000000" w:themeColor="text1"/>
          <w:sz w:val="44"/>
          <w:szCs w:val="44"/>
          <w:highlight w:val="none"/>
          <w:lang w:val="en-US" w:eastAsia="zh-CN"/>
          <w14:textFill>
            <w14:solidFill>
              <w14:schemeClr w14:val="tx1"/>
            </w14:solidFill>
          </w14:textFill>
        </w:rPr>
        <w:t>2025年5月修订</w:t>
      </w:r>
      <w:r>
        <w:rPr>
          <w:rFonts w:hint="default" w:ascii="Times New Roman" w:hAnsi="Times New Roman" w:eastAsia="黑体" w:cs="Times New Roman"/>
          <w:b/>
          <w:color w:val="000000" w:themeColor="text1"/>
          <w:sz w:val="44"/>
          <w:szCs w:val="44"/>
          <w:highlight w:val="none"/>
          <w:lang w:eastAsia="zh-CN"/>
          <w14:textFill>
            <w14:solidFill>
              <w14:schemeClr w14:val="tx1"/>
            </w14:solidFill>
          </w14:textFill>
        </w:rPr>
        <w:t>）</w:t>
      </w:r>
    </w:p>
    <w:p w14:paraId="0BA7D736">
      <w:pPr>
        <w:spacing w:line="0" w:lineRule="atLeast"/>
        <w:jc w:val="center"/>
        <w:rPr>
          <w:rFonts w:hint="default" w:ascii="Times New Roman" w:hAnsi="Times New Roman" w:eastAsia="黑体" w:cs="Times New Roman"/>
          <w:b/>
          <w:color w:val="000000" w:themeColor="text1"/>
          <w:kern w:val="0"/>
          <w:sz w:val="32"/>
          <w:szCs w:val="32"/>
          <w:highlight w:val="none"/>
          <w14:textFill>
            <w14:solidFill>
              <w14:schemeClr w14:val="tx1"/>
            </w14:solidFill>
          </w14:textFill>
        </w:rPr>
      </w:pPr>
    </w:p>
    <w:tbl>
      <w:tblPr>
        <w:tblStyle w:val="13"/>
        <w:tblW w:w="147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1"/>
        <w:gridCol w:w="4625"/>
        <w:gridCol w:w="1163"/>
        <w:gridCol w:w="2193"/>
        <w:gridCol w:w="1500"/>
        <w:gridCol w:w="1200"/>
        <w:gridCol w:w="1369"/>
        <w:gridCol w:w="1256"/>
        <w:gridCol w:w="668"/>
      </w:tblGrid>
      <w:tr w14:paraId="4F174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jc w:val="center"/>
        </w:trPr>
        <w:tc>
          <w:tcPr>
            <w:tcW w:w="751" w:type="dxa"/>
            <w:vMerge w:val="restart"/>
            <w:shd w:val="clear" w:color="auto" w:fill="8DB3E2"/>
            <w:vAlign w:val="center"/>
          </w:tcPr>
          <w:p w14:paraId="119609BD">
            <w:pPr>
              <w:jc w:val="cente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t>序号</w:t>
            </w:r>
          </w:p>
        </w:tc>
        <w:tc>
          <w:tcPr>
            <w:tcW w:w="4625" w:type="dxa"/>
            <w:vMerge w:val="restart"/>
            <w:shd w:val="clear" w:color="auto" w:fill="8DB3E2"/>
            <w:vAlign w:val="center"/>
          </w:tcPr>
          <w:p w14:paraId="00A59FAA">
            <w:pPr>
              <w:jc w:val="center"/>
              <w:rPr>
                <w:rFonts w:hint="default" w:ascii="Times New Roman" w:hAnsi="Times New Roman" w:eastAsia="仿宋_GB2312" w:cs="Times New Roman"/>
                <w:b/>
                <w:bCs/>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t>问题</w:t>
            </w:r>
          </w:p>
        </w:tc>
        <w:tc>
          <w:tcPr>
            <w:tcW w:w="1163" w:type="dxa"/>
            <w:vMerge w:val="restart"/>
            <w:shd w:val="clear" w:color="auto" w:fill="8DB3E2"/>
            <w:vAlign w:val="center"/>
          </w:tcPr>
          <w:p w14:paraId="2C496906">
            <w:pPr>
              <w:jc w:val="cente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t>是否</w:t>
            </w:r>
          </w:p>
          <w:p w14:paraId="4E4FBE03">
            <w:pPr>
              <w:jc w:val="cente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t>适用</w:t>
            </w:r>
          </w:p>
        </w:tc>
        <w:tc>
          <w:tcPr>
            <w:tcW w:w="2193" w:type="dxa"/>
            <w:tcBorders>
              <w:bottom w:val="single" w:color="000000" w:sz="4" w:space="0"/>
            </w:tcBorders>
            <w:shd w:val="clear" w:color="auto" w:fill="8DB3E2"/>
            <w:vAlign w:val="center"/>
          </w:tcPr>
          <w:p w14:paraId="1FF74075">
            <w:pPr>
              <w:jc w:val="cente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t>披露要求落实情况</w:t>
            </w:r>
          </w:p>
        </w:tc>
        <w:tc>
          <w:tcPr>
            <w:tcW w:w="5325" w:type="dxa"/>
            <w:gridSpan w:val="4"/>
            <w:tcBorders>
              <w:bottom w:val="single" w:color="000000" w:sz="4" w:space="0"/>
            </w:tcBorders>
            <w:shd w:val="clear" w:color="auto" w:fill="8DB3E2"/>
            <w:vAlign w:val="center"/>
          </w:tcPr>
          <w:p w14:paraId="24E94C76">
            <w:pPr>
              <w:jc w:val="cente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t>核查要求落实情况</w:t>
            </w:r>
          </w:p>
        </w:tc>
        <w:tc>
          <w:tcPr>
            <w:tcW w:w="668" w:type="dxa"/>
            <w:vMerge w:val="restart"/>
            <w:shd w:val="clear" w:color="auto" w:fill="8DB3E2"/>
            <w:vAlign w:val="center"/>
          </w:tcPr>
          <w:p w14:paraId="71FC63DD">
            <w:pPr>
              <w:jc w:val="cente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t>备注</w:t>
            </w:r>
          </w:p>
        </w:tc>
      </w:tr>
      <w:tr w14:paraId="67112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jc w:val="center"/>
        </w:trPr>
        <w:tc>
          <w:tcPr>
            <w:tcW w:w="751" w:type="dxa"/>
            <w:vMerge w:val="continue"/>
            <w:shd w:val="clear" w:color="auto" w:fill="auto"/>
            <w:vAlign w:val="center"/>
          </w:tcPr>
          <w:p w14:paraId="6F4FC161">
            <w:pPr>
              <w:jc w:val="cente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pPr>
          </w:p>
        </w:tc>
        <w:tc>
          <w:tcPr>
            <w:tcW w:w="4625" w:type="dxa"/>
            <w:vMerge w:val="continue"/>
            <w:shd w:val="clear" w:color="auto" w:fill="auto"/>
            <w:vAlign w:val="center"/>
          </w:tcPr>
          <w:p w14:paraId="57804065">
            <w:pPr>
              <w:jc w:val="cente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pPr>
          </w:p>
        </w:tc>
        <w:tc>
          <w:tcPr>
            <w:tcW w:w="1163" w:type="dxa"/>
            <w:vMerge w:val="continue"/>
            <w:shd w:val="clear" w:color="auto" w:fill="auto"/>
            <w:vAlign w:val="center"/>
          </w:tcPr>
          <w:p w14:paraId="0BB10C0D">
            <w:pPr>
              <w:jc w:val="cente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pPr>
          </w:p>
        </w:tc>
        <w:tc>
          <w:tcPr>
            <w:tcW w:w="2193" w:type="dxa"/>
            <w:shd w:val="clear" w:color="auto" w:fill="8DB3E2"/>
            <w:vAlign w:val="center"/>
          </w:tcPr>
          <w:p w14:paraId="104FA1C9">
            <w:pPr>
              <w:jc w:val="cente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t>重组报告书</w:t>
            </w:r>
          </w:p>
          <w:p w14:paraId="72BDA286">
            <w:pPr>
              <w:jc w:val="cente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t>章节</w:t>
            </w:r>
          </w:p>
        </w:tc>
        <w:tc>
          <w:tcPr>
            <w:tcW w:w="1500" w:type="dxa"/>
            <w:shd w:val="clear" w:color="auto" w:fill="8DB3E2"/>
            <w:vAlign w:val="center"/>
          </w:tcPr>
          <w:p w14:paraId="66FF929C">
            <w:pPr>
              <w:jc w:val="cente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t>独立财务顾问报告章节</w:t>
            </w:r>
          </w:p>
        </w:tc>
        <w:tc>
          <w:tcPr>
            <w:tcW w:w="1200" w:type="dxa"/>
            <w:shd w:val="clear" w:color="auto" w:fill="8DB3E2"/>
            <w:vAlign w:val="center"/>
          </w:tcPr>
          <w:p w14:paraId="1F464FFE">
            <w:pPr>
              <w:jc w:val="cente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t>律师核查情况</w:t>
            </w:r>
          </w:p>
        </w:tc>
        <w:tc>
          <w:tcPr>
            <w:tcW w:w="1369" w:type="dxa"/>
            <w:shd w:val="clear" w:color="auto" w:fill="8DB3E2"/>
            <w:vAlign w:val="center"/>
          </w:tcPr>
          <w:p w14:paraId="410083A9">
            <w:pPr>
              <w:jc w:val="cente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t>会计师</w:t>
            </w:r>
          </w:p>
          <w:p w14:paraId="57FDA14A">
            <w:pPr>
              <w:jc w:val="cente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t>核查情况</w:t>
            </w:r>
          </w:p>
        </w:tc>
        <w:tc>
          <w:tcPr>
            <w:tcW w:w="1256" w:type="dxa"/>
            <w:shd w:val="clear" w:color="auto" w:fill="8DB3E2"/>
            <w:vAlign w:val="center"/>
          </w:tcPr>
          <w:p w14:paraId="4C11D67D">
            <w:pPr>
              <w:jc w:val="cente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t>评估师核查情况</w:t>
            </w:r>
          </w:p>
        </w:tc>
        <w:tc>
          <w:tcPr>
            <w:tcW w:w="668" w:type="dxa"/>
            <w:vMerge w:val="continue"/>
            <w:vAlign w:val="center"/>
          </w:tcPr>
          <w:p w14:paraId="1C3D8CFB">
            <w:pPr>
              <w:jc w:val="cente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pPr>
          </w:p>
        </w:tc>
      </w:tr>
      <w:tr w14:paraId="4CFF6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25" w:type="dxa"/>
            <w:gridSpan w:val="9"/>
            <w:tcBorders>
              <w:bottom w:val="single" w:color="000000" w:sz="4" w:space="0"/>
            </w:tcBorders>
            <w:vAlign w:val="center"/>
          </w:tcPr>
          <w:p w14:paraId="3B2DD01B">
            <w:pPr>
              <w:jc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t>一、关于交易方案</w:t>
            </w:r>
          </w:p>
        </w:tc>
      </w:tr>
      <w:tr w14:paraId="4FF62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1" w:type="dxa"/>
            <w:tcBorders>
              <w:bottom w:val="single" w:color="000000" w:sz="4" w:space="0"/>
            </w:tcBorders>
            <w:vAlign w:val="center"/>
          </w:tcPr>
          <w:p w14:paraId="6A0C4DC5">
            <w:pPr>
              <w:jc w:val="cente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kern w:val="0"/>
                <w:sz w:val="24"/>
                <w:szCs w:val="24"/>
                <w:highlight w:val="none"/>
              </w:rPr>
              <w:t>1-1</w:t>
            </w:r>
          </w:p>
        </w:tc>
        <w:tc>
          <w:tcPr>
            <w:tcW w:w="4625" w:type="dxa"/>
            <w:tcBorders>
              <w:bottom w:val="single" w:color="000000" w:sz="4" w:space="0"/>
            </w:tcBorders>
            <w:vAlign w:val="center"/>
          </w:tcPr>
          <w:p w14:paraId="4C35952D">
            <w:pP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kern w:val="0"/>
                <w:sz w:val="24"/>
                <w:szCs w:val="24"/>
                <w:highlight w:val="none"/>
              </w:rPr>
              <w:t>交易必要性及协同效应</w:t>
            </w:r>
          </w:p>
        </w:tc>
        <w:tc>
          <w:tcPr>
            <w:tcW w:w="1163" w:type="dxa"/>
            <w:tcBorders>
              <w:bottom w:val="single" w:color="000000" w:sz="4" w:space="0"/>
            </w:tcBorders>
            <w:vAlign w:val="center"/>
          </w:tcPr>
          <w:p w14:paraId="78924172">
            <w:pPr>
              <w:rPr>
                <w:rFonts w:hint="default" w:ascii="Times New Roman" w:hAnsi="Times New Roman" w:eastAsia="仿宋_GB2312" w:cs="Times New Roman"/>
                <w:bCs/>
                <w:color w:val="000000" w:themeColor="text1"/>
                <w:kern w:val="0"/>
                <w:sz w:val="24"/>
                <w:szCs w:val="24"/>
                <w:highlight w:val="none"/>
                <w14:textFill>
                  <w14:solidFill>
                    <w14:schemeClr w14:val="tx1"/>
                  </w14:solidFill>
                </w14:textFill>
              </w:rPr>
            </w:pPr>
          </w:p>
        </w:tc>
        <w:tc>
          <w:tcPr>
            <w:tcW w:w="2193" w:type="dxa"/>
            <w:tcBorders>
              <w:bottom w:val="single" w:color="000000" w:sz="4" w:space="0"/>
            </w:tcBorders>
            <w:vAlign w:val="center"/>
          </w:tcPr>
          <w:p w14:paraId="53CC09F5">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500" w:type="dxa"/>
            <w:tcBorders>
              <w:bottom w:val="single" w:color="000000" w:sz="4" w:space="0"/>
            </w:tcBorders>
            <w:vAlign w:val="center"/>
          </w:tcPr>
          <w:p w14:paraId="1D1E42DB">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00" w:type="dxa"/>
            <w:tcBorders>
              <w:bottom w:val="single" w:color="000000" w:sz="4" w:space="0"/>
            </w:tcBorders>
          </w:tcPr>
          <w:p w14:paraId="0F212EA8">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369" w:type="dxa"/>
            <w:tcBorders>
              <w:bottom w:val="single" w:color="000000" w:sz="4" w:space="0"/>
            </w:tcBorders>
          </w:tcPr>
          <w:p w14:paraId="783F77B4">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56" w:type="dxa"/>
            <w:tcBorders>
              <w:bottom w:val="single" w:color="000000" w:sz="4" w:space="0"/>
            </w:tcBorders>
            <w:vAlign w:val="center"/>
          </w:tcPr>
          <w:p w14:paraId="73A760B2">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668" w:type="dxa"/>
            <w:tcBorders>
              <w:bottom w:val="single" w:color="000000" w:sz="4" w:space="0"/>
            </w:tcBorders>
            <w:vAlign w:val="center"/>
          </w:tcPr>
          <w:p w14:paraId="2FB0CE82">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r>
      <w:tr w14:paraId="2DA48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1" w:type="dxa"/>
            <w:tcBorders>
              <w:bottom w:val="single" w:color="000000" w:sz="4" w:space="0"/>
            </w:tcBorders>
            <w:vAlign w:val="center"/>
          </w:tcPr>
          <w:p w14:paraId="31B5FCE0">
            <w:pPr>
              <w:jc w:val="center"/>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1-2</w:t>
            </w:r>
          </w:p>
        </w:tc>
        <w:tc>
          <w:tcPr>
            <w:tcW w:w="4625" w:type="dxa"/>
            <w:tcBorders>
              <w:bottom w:val="single" w:color="000000" w:sz="4" w:space="0"/>
            </w:tcBorders>
            <w:vAlign w:val="center"/>
          </w:tcPr>
          <w:p w14:paraId="2B146FFE">
            <w:pPr>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支付方式</w:t>
            </w:r>
          </w:p>
        </w:tc>
        <w:tc>
          <w:tcPr>
            <w:tcW w:w="1163" w:type="dxa"/>
            <w:tcBorders>
              <w:bottom w:val="single" w:color="000000" w:sz="4" w:space="0"/>
            </w:tcBorders>
            <w:vAlign w:val="center"/>
          </w:tcPr>
          <w:p w14:paraId="4293214D">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2193" w:type="dxa"/>
            <w:tcBorders>
              <w:bottom w:val="single" w:color="000000" w:sz="4" w:space="0"/>
            </w:tcBorders>
            <w:vAlign w:val="center"/>
          </w:tcPr>
          <w:p w14:paraId="073482D6">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500" w:type="dxa"/>
            <w:tcBorders>
              <w:bottom w:val="single" w:color="000000" w:sz="4" w:space="0"/>
            </w:tcBorders>
            <w:vAlign w:val="center"/>
          </w:tcPr>
          <w:p w14:paraId="4F362EBB">
            <w:pPr>
              <w:rPr>
                <w:rFonts w:hint="default" w:ascii="Times New Roman" w:hAnsi="Times New Roman" w:eastAsia="仿宋_GB2312" w:cs="Times New Roman"/>
                <w:bCs/>
                <w:color w:val="000000" w:themeColor="text1"/>
                <w:kern w:val="0"/>
                <w:sz w:val="24"/>
                <w:szCs w:val="24"/>
                <w:highlight w:val="none"/>
                <w14:textFill>
                  <w14:solidFill>
                    <w14:schemeClr w14:val="tx1"/>
                  </w14:solidFill>
                </w14:textFill>
              </w:rPr>
            </w:pPr>
          </w:p>
        </w:tc>
        <w:tc>
          <w:tcPr>
            <w:tcW w:w="1200" w:type="dxa"/>
            <w:tcBorders>
              <w:bottom w:val="single" w:color="000000" w:sz="4" w:space="0"/>
            </w:tcBorders>
          </w:tcPr>
          <w:p w14:paraId="3A86EEE7">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369" w:type="dxa"/>
            <w:tcBorders>
              <w:bottom w:val="single" w:color="000000" w:sz="4" w:space="0"/>
            </w:tcBorders>
          </w:tcPr>
          <w:p w14:paraId="75A3F394">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56" w:type="dxa"/>
            <w:tcBorders>
              <w:bottom w:val="single" w:color="000000" w:sz="4" w:space="0"/>
            </w:tcBorders>
            <w:vAlign w:val="center"/>
          </w:tcPr>
          <w:p w14:paraId="14837C16">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668" w:type="dxa"/>
            <w:tcBorders>
              <w:bottom w:val="single" w:color="000000" w:sz="4" w:space="0"/>
            </w:tcBorders>
            <w:vAlign w:val="center"/>
          </w:tcPr>
          <w:p w14:paraId="0AEAE633">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r>
      <w:tr w14:paraId="51D28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1" w:type="dxa"/>
            <w:tcBorders>
              <w:bottom w:val="single" w:color="000000" w:sz="4" w:space="0"/>
            </w:tcBorders>
            <w:vAlign w:val="center"/>
          </w:tcPr>
          <w:p w14:paraId="4D885C25">
            <w:pPr>
              <w:jc w:val="center"/>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1-3</w:t>
            </w:r>
          </w:p>
        </w:tc>
        <w:tc>
          <w:tcPr>
            <w:tcW w:w="4625" w:type="dxa"/>
            <w:tcBorders>
              <w:bottom w:val="single" w:color="000000" w:sz="4" w:space="0"/>
            </w:tcBorders>
            <w:vAlign w:val="center"/>
          </w:tcPr>
          <w:p w14:paraId="7C1485F5">
            <w:pPr>
              <w:rPr>
                <w:rFonts w:hint="default" w:ascii="Times New Roman" w:hAnsi="Times New Roman" w:eastAsia="仿宋_GB2312" w:cs="Times New Roman"/>
                <w:b/>
                <w:bCs/>
                <w:kern w:val="0"/>
                <w:sz w:val="24"/>
                <w:szCs w:val="24"/>
                <w:highlight w:val="none"/>
                <w:lang w:eastAsia="zh-CN"/>
              </w:rPr>
            </w:pPr>
            <w:r>
              <w:rPr>
                <w:rFonts w:hint="default" w:ascii="Times New Roman" w:hAnsi="Times New Roman" w:eastAsia="仿宋_GB2312" w:cs="Times New Roman"/>
                <w:b/>
                <w:bCs/>
                <w:sz w:val="24"/>
                <w:szCs w:val="24"/>
                <w:highlight w:val="none"/>
              </w:rPr>
              <w:t>发行定向可转债</w:t>
            </w:r>
            <w:r>
              <w:rPr>
                <w:rFonts w:hint="default" w:ascii="Times New Roman" w:hAnsi="Times New Roman" w:eastAsia="仿宋_GB2312" w:cs="Times New Roman"/>
                <w:b/>
                <w:bCs/>
                <w:sz w:val="24"/>
                <w:szCs w:val="24"/>
                <w:highlight w:val="none"/>
                <w:lang w:eastAsia="zh-CN"/>
              </w:rPr>
              <w:t>购买资产</w:t>
            </w:r>
          </w:p>
        </w:tc>
        <w:tc>
          <w:tcPr>
            <w:tcW w:w="1163" w:type="dxa"/>
            <w:tcBorders>
              <w:bottom w:val="single" w:color="000000" w:sz="4" w:space="0"/>
            </w:tcBorders>
            <w:vAlign w:val="center"/>
          </w:tcPr>
          <w:p w14:paraId="26486D38">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2193" w:type="dxa"/>
            <w:tcBorders>
              <w:bottom w:val="single" w:color="000000" w:sz="4" w:space="0"/>
            </w:tcBorders>
            <w:vAlign w:val="center"/>
          </w:tcPr>
          <w:p w14:paraId="550E3818">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500" w:type="dxa"/>
            <w:tcBorders>
              <w:bottom w:val="single" w:color="000000" w:sz="4" w:space="0"/>
            </w:tcBorders>
            <w:vAlign w:val="center"/>
          </w:tcPr>
          <w:p w14:paraId="6B4BEC70">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00" w:type="dxa"/>
            <w:tcBorders>
              <w:bottom w:val="single" w:color="000000" w:sz="4" w:space="0"/>
            </w:tcBorders>
          </w:tcPr>
          <w:p w14:paraId="378C988E">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369" w:type="dxa"/>
            <w:tcBorders>
              <w:bottom w:val="single" w:color="000000" w:sz="4" w:space="0"/>
            </w:tcBorders>
          </w:tcPr>
          <w:p w14:paraId="0915CD2B">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56" w:type="dxa"/>
            <w:tcBorders>
              <w:bottom w:val="single" w:color="000000" w:sz="4" w:space="0"/>
            </w:tcBorders>
            <w:vAlign w:val="center"/>
          </w:tcPr>
          <w:p w14:paraId="28055433">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668" w:type="dxa"/>
            <w:tcBorders>
              <w:bottom w:val="single" w:color="000000" w:sz="4" w:space="0"/>
            </w:tcBorders>
            <w:vAlign w:val="center"/>
          </w:tcPr>
          <w:p w14:paraId="32BACFCD">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r>
      <w:tr w14:paraId="6DBDD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1" w:type="dxa"/>
            <w:tcBorders>
              <w:bottom w:val="single" w:color="000000" w:sz="4" w:space="0"/>
            </w:tcBorders>
            <w:vAlign w:val="center"/>
          </w:tcPr>
          <w:p w14:paraId="41242694">
            <w:pPr>
              <w:jc w:val="center"/>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bCs/>
                <w:kern w:val="0"/>
                <w:sz w:val="24"/>
                <w:szCs w:val="24"/>
                <w:highlight w:val="none"/>
              </w:rPr>
              <w:t>1-4</w:t>
            </w:r>
          </w:p>
        </w:tc>
        <w:tc>
          <w:tcPr>
            <w:tcW w:w="4625" w:type="dxa"/>
            <w:tcBorders>
              <w:bottom w:val="single" w:color="000000" w:sz="4" w:space="0"/>
            </w:tcBorders>
            <w:vAlign w:val="center"/>
          </w:tcPr>
          <w:p w14:paraId="60335865">
            <w:pPr>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bCs/>
                <w:sz w:val="24"/>
                <w:szCs w:val="24"/>
                <w:highlight w:val="none"/>
              </w:rPr>
              <w:t>吸收合并</w:t>
            </w:r>
          </w:p>
        </w:tc>
        <w:tc>
          <w:tcPr>
            <w:tcW w:w="1163" w:type="dxa"/>
            <w:tcBorders>
              <w:bottom w:val="single" w:color="000000" w:sz="4" w:space="0"/>
            </w:tcBorders>
            <w:vAlign w:val="center"/>
          </w:tcPr>
          <w:p w14:paraId="17906900">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2193" w:type="dxa"/>
            <w:tcBorders>
              <w:bottom w:val="single" w:color="000000" w:sz="4" w:space="0"/>
            </w:tcBorders>
            <w:vAlign w:val="center"/>
          </w:tcPr>
          <w:p w14:paraId="67BED59E">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500" w:type="dxa"/>
            <w:tcBorders>
              <w:bottom w:val="single" w:color="000000" w:sz="4" w:space="0"/>
            </w:tcBorders>
            <w:vAlign w:val="center"/>
          </w:tcPr>
          <w:p w14:paraId="18A5077C">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00" w:type="dxa"/>
            <w:tcBorders>
              <w:bottom w:val="single" w:color="000000" w:sz="4" w:space="0"/>
            </w:tcBorders>
          </w:tcPr>
          <w:p w14:paraId="671EE603">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369" w:type="dxa"/>
            <w:tcBorders>
              <w:bottom w:val="single" w:color="000000" w:sz="4" w:space="0"/>
            </w:tcBorders>
          </w:tcPr>
          <w:p w14:paraId="7FBE4260">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56" w:type="dxa"/>
            <w:tcBorders>
              <w:bottom w:val="single" w:color="000000" w:sz="4" w:space="0"/>
            </w:tcBorders>
            <w:vAlign w:val="center"/>
          </w:tcPr>
          <w:p w14:paraId="67E8BBDA">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668" w:type="dxa"/>
            <w:tcBorders>
              <w:bottom w:val="single" w:color="000000" w:sz="4" w:space="0"/>
            </w:tcBorders>
            <w:vAlign w:val="center"/>
          </w:tcPr>
          <w:p w14:paraId="2B1D6F35">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r>
      <w:tr w14:paraId="78E88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1" w:type="dxa"/>
            <w:tcBorders>
              <w:bottom w:val="single" w:color="000000" w:sz="4" w:space="0"/>
            </w:tcBorders>
            <w:vAlign w:val="center"/>
          </w:tcPr>
          <w:p w14:paraId="0C9B9597">
            <w:pPr>
              <w:jc w:val="center"/>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1-5</w:t>
            </w:r>
          </w:p>
        </w:tc>
        <w:tc>
          <w:tcPr>
            <w:tcW w:w="4625" w:type="dxa"/>
            <w:tcBorders>
              <w:bottom w:val="single" w:color="000000" w:sz="4" w:space="0"/>
            </w:tcBorders>
            <w:vAlign w:val="center"/>
          </w:tcPr>
          <w:p w14:paraId="2C518804">
            <w:pPr>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sz w:val="24"/>
                <w:szCs w:val="24"/>
                <w:highlight w:val="none"/>
              </w:rPr>
              <w:t>募集配套资金</w:t>
            </w:r>
          </w:p>
        </w:tc>
        <w:tc>
          <w:tcPr>
            <w:tcW w:w="1163" w:type="dxa"/>
            <w:tcBorders>
              <w:bottom w:val="single" w:color="000000" w:sz="4" w:space="0"/>
            </w:tcBorders>
            <w:vAlign w:val="center"/>
          </w:tcPr>
          <w:p w14:paraId="5FDC7BB0">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2193" w:type="dxa"/>
            <w:tcBorders>
              <w:bottom w:val="single" w:color="000000" w:sz="4" w:space="0"/>
            </w:tcBorders>
            <w:vAlign w:val="center"/>
          </w:tcPr>
          <w:p w14:paraId="12016EA6">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500" w:type="dxa"/>
            <w:tcBorders>
              <w:bottom w:val="single" w:color="000000" w:sz="4" w:space="0"/>
            </w:tcBorders>
            <w:vAlign w:val="center"/>
          </w:tcPr>
          <w:p w14:paraId="0F835F6C">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00" w:type="dxa"/>
            <w:tcBorders>
              <w:bottom w:val="single" w:color="000000" w:sz="4" w:space="0"/>
            </w:tcBorders>
          </w:tcPr>
          <w:p w14:paraId="37ABAF70">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369" w:type="dxa"/>
            <w:tcBorders>
              <w:bottom w:val="single" w:color="000000" w:sz="4" w:space="0"/>
            </w:tcBorders>
          </w:tcPr>
          <w:p w14:paraId="00FA104D">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56" w:type="dxa"/>
            <w:tcBorders>
              <w:bottom w:val="single" w:color="000000" w:sz="4" w:space="0"/>
            </w:tcBorders>
            <w:vAlign w:val="center"/>
          </w:tcPr>
          <w:p w14:paraId="0BDD127A">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668" w:type="dxa"/>
            <w:tcBorders>
              <w:bottom w:val="single" w:color="000000" w:sz="4" w:space="0"/>
            </w:tcBorders>
            <w:vAlign w:val="center"/>
          </w:tcPr>
          <w:p w14:paraId="5C3D9AAB">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r>
      <w:tr w14:paraId="7E98A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1" w:type="dxa"/>
            <w:vAlign w:val="center"/>
          </w:tcPr>
          <w:p w14:paraId="010174B0">
            <w:pPr>
              <w:jc w:val="center"/>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1-6</w:t>
            </w:r>
          </w:p>
        </w:tc>
        <w:tc>
          <w:tcPr>
            <w:tcW w:w="4625" w:type="dxa"/>
            <w:vAlign w:val="center"/>
          </w:tcPr>
          <w:p w14:paraId="6A8736DD">
            <w:pPr>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是否构成重组上市</w:t>
            </w:r>
          </w:p>
        </w:tc>
        <w:tc>
          <w:tcPr>
            <w:tcW w:w="1163" w:type="dxa"/>
            <w:vAlign w:val="center"/>
          </w:tcPr>
          <w:p w14:paraId="3FD45C5D">
            <w:pPr>
              <w:rPr>
                <w:rFonts w:hint="default" w:ascii="Times New Roman" w:hAnsi="Times New Roman" w:eastAsia="仿宋_GB2312" w:cs="Times New Roman"/>
                <w:bCs/>
                <w:color w:val="000000" w:themeColor="text1"/>
                <w:kern w:val="0"/>
                <w:sz w:val="24"/>
                <w:szCs w:val="24"/>
                <w:highlight w:val="none"/>
                <w14:textFill>
                  <w14:solidFill>
                    <w14:schemeClr w14:val="tx1"/>
                  </w14:solidFill>
                </w14:textFill>
              </w:rPr>
            </w:pPr>
          </w:p>
        </w:tc>
        <w:tc>
          <w:tcPr>
            <w:tcW w:w="2193" w:type="dxa"/>
            <w:vAlign w:val="center"/>
          </w:tcPr>
          <w:p w14:paraId="7E5FE619">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500" w:type="dxa"/>
            <w:vAlign w:val="center"/>
          </w:tcPr>
          <w:p w14:paraId="626E9491">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00" w:type="dxa"/>
          </w:tcPr>
          <w:p w14:paraId="08E3C26E">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369" w:type="dxa"/>
          </w:tcPr>
          <w:p w14:paraId="7CFCB7BE">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56" w:type="dxa"/>
            <w:vAlign w:val="center"/>
          </w:tcPr>
          <w:p w14:paraId="7A7AD032">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668" w:type="dxa"/>
            <w:vAlign w:val="center"/>
          </w:tcPr>
          <w:p w14:paraId="5AD9D8CD">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r>
      <w:tr w14:paraId="5E11D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1" w:type="dxa"/>
            <w:vAlign w:val="center"/>
          </w:tcPr>
          <w:p w14:paraId="53C7D673">
            <w:pPr>
              <w:jc w:val="center"/>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1-7</w:t>
            </w:r>
          </w:p>
        </w:tc>
        <w:tc>
          <w:tcPr>
            <w:tcW w:w="4625" w:type="dxa"/>
            <w:vAlign w:val="center"/>
          </w:tcPr>
          <w:p w14:paraId="72813B71">
            <w:pPr>
              <w:rPr>
                <w:rFonts w:hint="default" w:ascii="Times New Roman" w:hAnsi="Times New Roman" w:eastAsia="仿宋_GB2312" w:cs="Times New Roman"/>
                <w:b/>
                <w:bCs/>
                <w:kern w:val="0"/>
                <w:sz w:val="24"/>
                <w:szCs w:val="24"/>
                <w:highlight w:val="none"/>
                <w:lang w:eastAsia="zh-CN"/>
              </w:rPr>
            </w:pPr>
            <w:r>
              <w:rPr>
                <w:rFonts w:hint="default" w:ascii="Times New Roman" w:hAnsi="Times New Roman" w:eastAsia="仿宋_GB2312" w:cs="Times New Roman"/>
                <w:b/>
                <w:bCs/>
                <w:kern w:val="0"/>
                <w:sz w:val="24"/>
                <w:szCs w:val="24"/>
                <w:highlight w:val="none"/>
              </w:rPr>
              <w:t>业绩承诺</w:t>
            </w:r>
            <w:r>
              <w:rPr>
                <w:rFonts w:hint="default" w:ascii="Times New Roman" w:hAnsi="Times New Roman" w:eastAsia="仿宋_GB2312" w:cs="Times New Roman"/>
                <w:b/>
                <w:bCs/>
                <w:kern w:val="0"/>
                <w:sz w:val="24"/>
                <w:szCs w:val="24"/>
                <w:highlight w:val="none"/>
                <w:lang w:eastAsia="zh-CN"/>
              </w:rPr>
              <w:t>（如有）</w:t>
            </w:r>
          </w:p>
        </w:tc>
        <w:tc>
          <w:tcPr>
            <w:tcW w:w="1163" w:type="dxa"/>
            <w:vAlign w:val="center"/>
          </w:tcPr>
          <w:p w14:paraId="10D707DC">
            <w:pPr>
              <w:rPr>
                <w:rFonts w:hint="default" w:ascii="Times New Roman" w:hAnsi="Times New Roman" w:eastAsia="仿宋_GB2312" w:cs="Times New Roman"/>
                <w:bCs/>
                <w:color w:val="000000" w:themeColor="text1"/>
                <w:kern w:val="0"/>
                <w:sz w:val="24"/>
                <w:szCs w:val="24"/>
                <w:highlight w:val="none"/>
                <w14:textFill>
                  <w14:solidFill>
                    <w14:schemeClr w14:val="tx1"/>
                  </w14:solidFill>
                </w14:textFill>
              </w:rPr>
            </w:pPr>
          </w:p>
        </w:tc>
        <w:tc>
          <w:tcPr>
            <w:tcW w:w="2193" w:type="dxa"/>
            <w:vAlign w:val="center"/>
          </w:tcPr>
          <w:p w14:paraId="56EFCF09">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500" w:type="dxa"/>
            <w:vAlign w:val="center"/>
          </w:tcPr>
          <w:p w14:paraId="043D7816">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00" w:type="dxa"/>
          </w:tcPr>
          <w:p w14:paraId="4AD7E804">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369" w:type="dxa"/>
          </w:tcPr>
          <w:p w14:paraId="337F62FC">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56" w:type="dxa"/>
            <w:vAlign w:val="center"/>
          </w:tcPr>
          <w:p w14:paraId="31B34560">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668" w:type="dxa"/>
            <w:vAlign w:val="center"/>
          </w:tcPr>
          <w:p w14:paraId="61C193DE">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r>
      <w:tr w14:paraId="70786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1" w:type="dxa"/>
            <w:vAlign w:val="center"/>
          </w:tcPr>
          <w:p w14:paraId="3CFD400B">
            <w:pPr>
              <w:jc w:val="center"/>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1-8</w:t>
            </w:r>
          </w:p>
        </w:tc>
        <w:tc>
          <w:tcPr>
            <w:tcW w:w="4625" w:type="dxa"/>
            <w:vAlign w:val="center"/>
          </w:tcPr>
          <w:p w14:paraId="06ACB38D">
            <w:pPr>
              <w:rPr>
                <w:rFonts w:hint="default" w:ascii="Times New Roman" w:hAnsi="Times New Roman" w:eastAsia="仿宋_GB2312" w:cs="Times New Roman"/>
                <w:b/>
                <w:bCs/>
                <w:kern w:val="0"/>
                <w:sz w:val="24"/>
                <w:szCs w:val="24"/>
                <w:highlight w:val="none"/>
                <w:lang w:eastAsia="zh-CN"/>
              </w:rPr>
            </w:pPr>
            <w:r>
              <w:rPr>
                <w:rFonts w:hint="default" w:ascii="Times New Roman" w:hAnsi="Times New Roman" w:eastAsia="仿宋_GB2312" w:cs="Times New Roman"/>
                <w:b/>
                <w:bCs/>
                <w:kern w:val="0"/>
                <w:sz w:val="24"/>
                <w:szCs w:val="24"/>
                <w:highlight w:val="none"/>
              </w:rPr>
              <w:t>业绩奖励</w:t>
            </w:r>
            <w:r>
              <w:rPr>
                <w:rFonts w:hint="default" w:ascii="Times New Roman" w:hAnsi="Times New Roman" w:eastAsia="仿宋_GB2312" w:cs="Times New Roman"/>
                <w:b/>
                <w:bCs/>
                <w:kern w:val="0"/>
                <w:sz w:val="24"/>
                <w:szCs w:val="24"/>
                <w:highlight w:val="none"/>
                <w:lang w:eastAsia="zh-CN"/>
              </w:rPr>
              <w:t>（如有）</w:t>
            </w:r>
          </w:p>
        </w:tc>
        <w:tc>
          <w:tcPr>
            <w:tcW w:w="1163" w:type="dxa"/>
            <w:vAlign w:val="center"/>
          </w:tcPr>
          <w:p w14:paraId="4EC3AFDA">
            <w:pPr>
              <w:rPr>
                <w:rFonts w:hint="default" w:ascii="Times New Roman" w:hAnsi="Times New Roman" w:eastAsia="仿宋_GB2312" w:cs="Times New Roman"/>
                <w:bCs/>
                <w:color w:val="000000" w:themeColor="text1"/>
                <w:kern w:val="0"/>
                <w:sz w:val="24"/>
                <w:szCs w:val="24"/>
                <w:highlight w:val="none"/>
                <w14:textFill>
                  <w14:solidFill>
                    <w14:schemeClr w14:val="tx1"/>
                  </w14:solidFill>
                </w14:textFill>
              </w:rPr>
            </w:pPr>
          </w:p>
        </w:tc>
        <w:tc>
          <w:tcPr>
            <w:tcW w:w="2193" w:type="dxa"/>
            <w:vAlign w:val="center"/>
          </w:tcPr>
          <w:p w14:paraId="35AB0321">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500" w:type="dxa"/>
            <w:vAlign w:val="center"/>
          </w:tcPr>
          <w:p w14:paraId="441274EF">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00" w:type="dxa"/>
          </w:tcPr>
          <w:p w14:paraId="5C9457CB">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369" w:type="dxa"/>
          </w:tcPr>
          <w:p w14:paraId="56219756">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56" w:type="dxa"/>
            <w:vAlign w:val="center"/>
          </w:tcPr>
          <w:p w14:paraId="32E01BBA">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668" w:type="dxa"/>
            <w:vAlign w:val="center"/>
          </w:tcPr>
          <w:p w14:paraId="1E8AB7E7">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r>
      <w:tr w14:paraId="35499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1" w:type="dxa"/>
            <w:vAlign w:val="center"/>
          </w:tcPr>
          <w:p w14:paraId="296BE21A">
            <w:pPr>
              <w:jc w:val="center"/>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1-9</w:t>
            </w:r>
          </w:p>
        </w:tc>
        <w:tc>
          <w:tcPr>
            <w:tcW w:w="4625" w:type="dxa"/>
            <w:vAlign w:val="center"/>
          </w:tcPr>
          <w:p w14:paraId="4CDA68AE">
            <w:pPr>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锁定期安排</w:t>
            </w:r>
          </w:p>
        </w:tc>
        <w:tc>
          <w:tcPr>
            <w:tcW w:w="1163" w:type="dxa"/>
            <w:vAlign w:val="center"/>
          </w:tcPr>
          <w:p w14:paraId="207618EA">
            <w:pPr>
              <w:rPr>
                <w:rFonts w:hint="default" w:ascii="Times New Roman" w:hAnsi="Times New Roman" w:eastAsia="仿宋_GB2312" w:cs="Times New Roman"/>
                <w:bCs/>
                <w:color w:val="000000" w:themeColor="text1"/>
                <w:kern w:val="0"/>
                <w:sz w:val="24"/>
                <w:szCs w:val="24"/>
                <w:highlight w:val="none"/>
                <w14:textFill>
                  <w14:solidFill>
                    <w14:schemeClr w14:val="tx1"/>
                  </w14:solidFill>
                </w14:textFill>
              </w:rPr>
            </w:pPr>
          </w:p>
        </w:tc>
        <w:tc>
          <w:tcPr>
            <w:tcW w:w="2193" w:type="dxa"/>
            <w:vAlign w:val="center"/>
          </w:tcPr>
          <w:p w14:paraId="2CB9E08A">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500" w:type="dxa"/>
            <w:vAlign w:val="center"/>
          </w:tcPr>
          <w:p w14:paraId="7E73A98E">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00" w:type="dxa"/>
          </w:tcPr>
          <w:p w14:paraId="2A74A55A">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369" w:type="dxa"/>
          </w:tcPr>
          <w:p w14:paraId="4D2F1378">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56" w:type="dxa"/>
            <w:vAlign w:val="center"/>
          </w:tcPr>
          <w:p w14:paraId="38F6E3D7">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668" w:type="dxa"/>
            <w:vAlign w:val="center"/>
          </w:tcPr>
          <w:p w14:paraId="5A4E8BE3">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r>
      <w:tr w14:paraId="691DF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1" w:type="dxa"/>
            <w:vAlign w:val="center"/>
          </w:tcPr>
          <w:p w14:paraId="24433EF9">
            <w:pPr>
              <w:jc w:val="center"/>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1-10</w:t>
            </w:r>
          </w:p>
        </w:tc>
        <w:tc>
          <w:tcPr>
            <w:tcW w:w="4625" w:type="dxa"/>
            <w:vAlign w:val="center"/>
          </w:tcPr>
          <w:p w14:paraId="1F4223DE">
            <w:pPr>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过渡期损益安排</w:t>
            </w:r>
          </w:p>
        </w:tc>
        <w:tc>
          <w:tcPr>
            <w:tcW w:w="1163" w:type="dxa"/>
            <w:vAlign w:val="center"/>
          </w:tcPr>
          <w:p w14:paraId="0C0D836A">
            <w:pPr>
              <w:rPr>
                <w:rFonts w:hint="default" w:ascii="Times New Roman" w:hAnsi="Times New Roman" w:eastAsia="仿宋_GB2312" w:cs="Times New Roman"/>
                <w:bCs/>
                <w:color w:val="000000" w:themeColor="text1"/>
                <w:kern w:val="0"/>
                <w:sz w:val="24"/>
                <w:szCs w:val="24"/>
                <w:highlight w:val="none"/>
                <w14:textFill>
                  <w14:solidFill>
                    <w14:schemeClr w14:val="tx1"/>
                  </w14:solidFill>
                </w14:textFill>
              </w:rPr>
            </w:pPr>
          </w:p>
        </w:tc>
        <w:tc>
          <w:tcPr>
            <w:tcW w:w="2193" w:type="dxa"/>
            <w:vAlign w:val="center"/>
          </w:tcPr>
          <w:p w14:paraId="552CC8D9">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500" w:type="dxa"/>
            <w:vAlign w:val="center"/>
          </w:tcPr>
          <w:p w14:paraId="0AA1E798">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00" w:type="dxa"/>
          </w:tcPr>
          <w:p w14:paraId="26A69987">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369" w:type="dxa"/>
          </w:tcPr>
          <w:p w14:paraId="264BABF9">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56" w:type="dxa"/>
            <w:vAlign w:val="center"/>
          </w:tcPr>
          <w:p w14:paraId="27329019">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668" w:type="dxa"/>
            <w:vAlign w:val="center"/>
          </w:tcPr>
          <w:p w14:paraId="6B5B3323">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r>
      <w:tr w14:paraId="586A5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1" w:type="dxa"/>
            <w:vAlign w:val="center"/>
          </w:tcPr>
          <w:p w14:paraId="5008A254">
            <w:pPr>
              <w:jc w:val="center"/>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1-11</w:t>
            </w:r>
          </w:p>
        </w:tc>
        <w:tc>
          <w:tcPr>
            <w:tcW w:w="4625" w:type="dxa"/>
            <w:vAlign w:val="center"/>
          </w:tcPr>
          <w:p w14:paraId="680A0178">
            <w:pPr>
              <w:rPr>
                <w:rFonts w:hint="default" w:ascii="Times New Roman" w:hAnsi="Times New Roman" w:eastAsia="仿宋_GB2312" w:cs="Times New Roman"/>
                <w:b/>
                <w:bCs/>
                <w:kern w:val="0"/>
                <w:sz w:val="24"/>
                <w:szCs w:val="24"/>
                <w:highlight w:val="none"/>
                <w:lang w:eastAsia="zh-CN"/>
              </w:rPr>
            </w:pPr>
            <w:r>
              <w:rPr>
                <w:rFonts w:hint="default" w:ascii="Times New Roman" w:hAnsi="Times New Roman" w:eastAsia="仿宋_GB2312" w:cs="Times New Roman"/>
                <w:b/>
                <w:bCs/>
                <w:sz w:val="24"/>
                <w:szCs w:val="24"/>
                <w:highlight w:val="none"/>
              </w:rPr>
              <w:t>收购少数股权</w:t>
            </w:r>
            <w:r>
              <w:rPr>
                <w:rFonts w:hint="default" w:ascii="Times New Roman" w:hAnsi="Times New Roman" w:eastAsia="仿宋_GB2312" w:cs="Times New Roman"/>
                <w:b/>
                <w:bCs/>
                <w:sz w:val="24"/>
                <w:szCs w:val="24"/>
                <w:highlight w:val="none"/>
                <w:lang w:eastAsia="zh-CN"/>
              </w:rPr>
              <w:t>（参股权）</w:t>
            </w:r>
          </w:p>
        </w:tc>
        <w:tc>
          <w:tcPr>
            <w:tcW w:w="1163" w:type="dxa"/>
            <w:vAlign w:val="center"/>
          </w:tcPr>
          <w:p w14:paraId="3F15B8BE">
            <w:pPr>
              <w:rPr>
                <w:rFonts w:hint="default" w:ascii="Times New Roman" w:hAnsi="Times New Roman" w:eastAsia="仿宋_GB2312" w:cs="Times New Roman"/>
                <w:bCs/>
                <w:color w:val="000000" w:themeColor="text1"/>
                <w:kern w:val="0"/>
                <w:sz w:val="24"/>
                <w:szCs w:val="24"/>
                <w:highlight w:val="none"/>
                <w14:textFill>
                  <w14:solidFill>
                    <w14:schemeClr w14:val="tx1"/>
                  </w14:solidFill>
                </w14:textFill>
              </w:rPr>
            </w:pPr>
          </w:p>
        </w:tc>
        <w:tc>
          <w:tcPr>
            <w:tcW w:w="2193" w:type="dxa"/>
            <w:vAlign w:val="center"/>
          </w:tcPr>
          <w:p w14:paraId="190E98E7">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500" w:type="dxa"/>
            <w:vAlign w:val="center"/>
          </w:tcPr>
          <w:p w14:paraId="0316D728">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00" w:type="dxa"/>
          </w:tcPr>
          <w:p w14:paraId="7B6F4CC5">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369" w:type="dxa"/>
          </w:tcPr>
          <w:p w14:paraId="3D511BF9">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56" w:type="dxa"/>
            <w:vAlign w:val="center"/>
          </w:tcPr>
          <w:p w14:paraId="6B3CBE57">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668" w:type="dxa"/>
            <w:vAlign w:val="center"/>
          </w:tcPr>
          <w:p w14:paraId="34698A8B">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r>
      <w:tr w14:paraId="570B0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1" w:type="dxa"/>
            <w:vAlign w:val="center"/>
          </w:tcPr>
          <w:p w14:paraId="2E6FB3A0">
            <w:pPr>
              <w:jc w:val="center"/>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1-12</w:t>
            </w:r>
          </w:p>
        </w:tc>
        <w:tc>
          <w:tcPr>
            <w:tcW w:w="4625" w:type="dxa"/>
            <w:vAlign w:val="center"/>
          </w:tcPr>
          <w:p w14:paraId="69E02894">
            <w:pPr>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sz w:val="24"/>
                <w:szCs w:val="24"/>
                <w:highlight w:val="none"/>
              </w:rPr>
              <w:t>整合管控</w:t>
            </w:r>
          </w:p>
        </w:tc>
        <w:tc>
          <w:tcPr>
            <w:tcW w:w="1163" w:type="dxa"/>
            <w:vAlign w:val="center"/>
          </w:tcPr>
          <w:p w14:paraId="2D5E81EF">
            <w:pPr>
              <w:rPr>
                <w:rFonts w:hint="default" w:ascii="Times New Roman" w:hAnsi="Times New Roman" w:eastAsia="仿宋_GB2312" w:cs="Times New Roman"/>
                <w:bCs/>
                <w:color w:val="000000" w:themeColor="text1"/>
                <w:kern w:val="0"/>
                <w:sz w:val="24"/>
                <w:szCs w:val="24"/>
                <w:highlight w:val="none"/>
                <w14:textFill>
                  <w14:solidFill>
                    <w14:schemeClr w14:val="tx1"/>
                  </w14:solidFill>
                </w14:textFill>
              </w:rPr>
            </w:pPr>
          </w:p>
        </w:tc>
        <w:tc>
          <w:tcPr>
            <w:tcW w:w="2193" w:type="dxa"/>
            <w:vAlign w:val="center"/>
          </w:tcPr>
          <w:p w14:paraId="71B8E7F9">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500" w:type="dxa"/>
            <w:vAlign w:val="center"/>
          </w:tcPr>
          <w:p w14:paraId="435E9A36">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00" w:type="dxa"/>
          </w:tcPr>
          <w:p w14:paraId="62CDA640">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369" w:type="dxa"/>
          </w:tcPr>
          <w:p w14:paraId="3AF1ED13">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56" w:type="dxa"/>
            <w:vAlign w:val="center"/>
          </w:tcPr>
          <w:p w14:paraId="48B62665">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668" w:type="dxa"/>
            <w:vAlign w:val="center"/>
          </w:tcPr>
          <w:p w14:paraId="07579F99">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r>
      <w:tr w14:paraId="42669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25" w:type="dxa"/>
            <w:gridSpan w:val="9"/>
            <w:vAlign w:val="center"/>
          </w:tcPr>
          <w:p w14:paraId="0CCD68C8">
            <w:pPr>
              <w:jc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t>二、关于合规性</w:t>
            </w:r>
          </w:p>
        </w:tc>
      </w:tr>
      <w:tr w14:paraId="33696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1" w:type="dxa"/>
            <w:vAlign w:val="center"/>
          </w:tcPr>
          <w:p w14:paraId="35B5B3B2">
            <w:pPr>
              <w:jc w:val="center"/>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2-1</w:t>
            </w:r>
          </w:p>
        </w:tc>
        <w:tc>
          <w:tcPr>
            <w:tcW w:w="4625" w:type="dxa"/>
            <w:vAlign w:val="center"/>
          </w:tcPr>
          <w:p w14:paraId="0894D80A">
            <w:pPr>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bCs/>
                <w:sz w:val="24"/>
                <w:szCs w:val="24"/>
                <w:highlight w:val="none"/>
              </w:rPr>
              <w:t>产业政策</w:t>
            </w:r>
          </w:p>
        </w:tc>
        <w:tc>
          <w:tcPr>
            <w:tcW w:w="1163" w:type="dxa"/>
            <w:vAlign w:val="center"/>
          </w:tcPr>
          <w:p w14:paraId="21CE42D9">
            <w:pPr>
              <w:rPr>
                <w:rFonts w:hint="default" w:ascii="Times New Roman" w:hAnsi="Times New Roman" w:eastAsia="仿宋_GB2312" w:cs="Times New Roman"/>
                <w:bCs/>
                <w:color w:val="000000" w:themeColor="text1"/>
                <w:kern w:val="0"/>
                <w:sz w:val="24"/>
                <w:szCs w:val="24"/>
                <w:highlight w:val="none"/>
                <w14:textFill>
                  <w14:solidFill>
                    <w14:schemeClr w14:val="tx1"/>
                  </w14:solidFill>
                </w14:textFill>
              </w:rPr>
            </w:pPr>
          </w:p>
        </w:tc>
        <w:tc>
          <w:tcPr>
            <w:tcW w:w="2193" w:type="dxa"/>
            <w:vAlign w:val="center"/>
          </w:tcPr>
          <w:p w14:paraId="079690AF">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500" w:type="dxa"/>
            <w:vAlign w:val="center"/>
          </w:tcPr>
          <w:p w14:paraId="16A33305">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00" w:type="dxa"/>
          </w:tcPr>
          <w:p w14:paraId="447508EE">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369" w:type="dxa"/>
          </w:tcPr>
          <w:p w14:paraId="70A20EF8">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56" w:type="dxa"/>
            <w:vAlign w:val="center"/>
          </w:tcPr>
          <w:p w14:paraId="3F1D9033">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668" w:type="dxa"/>
            <w:vAlign w:val="center"/>
          </w:tcPr>
          <w:p w14:paraId="3599B042">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r>
      <w:tr w14:paraId="7349B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1" w:type="dxa"/>
            <w:vAlign w:val="center"/>
          </w:tcPr>
          <w:p w14:paraId="676D3832">
            <w:pPr>
              <w:jc w:val="center"/>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2-2</w:t>
            </w:r>
          </w:p>
        </w:tc>
        <w:tc>
          <w:tcPr>
            <w:tcW w:w="4625" w:type="dxa"/>
            <w:vAlign w:val="center"/>
          </w:tcPr>
          <w:p w14:paraId="6A0184D3">
            <w:pPr>
              <w:autoSpaceDE w:val="0"/>
              <w:autoSpaceDN w:val="0"/>
              <w:adjustRightInd w:val="0"/>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需履行的前置审批或并联审批程序</w:t>
            </w:r>
          </w:p>
        </w:tc>
        <w:tc>
          <w:tcPr>
            <w:tcW w:w="1163" w:type="dxa"/>
            <w:vAlign w:val="center"/>
          </w:tcPr>
          <w:p w14:paraId="21C84E63">
            <w:pPr>
              <w:rPr>
                <w:rFonts w:hint="default" w:ascii="Times New Roman" w:hAnsi="Times New Roman" w:eastAsia="仿宋_GB2312" w:cs="Times New Roman"/>
                <w:bCs/>
                <w:color w:val="000000" w:themeColor="text1"/>
                <w:kern w:val="0"/>
                <w:sz w:val="24"/>
                <w:szCs w:val="24"/>
                <w:highlight w:val="none"/>
                <w14:textFill>
                  <w14:solidFill>
                    <w14:schemeClr w14:val="tx1"/>
                  </w14:solidFill>
                </w14:textFill>
              </w:rPr>
            </w:pPr>
          </w:p>
        </w:tc>
        <w:tc>
          <w:tcPr>
            <w:tcW w:w="2193" w:type="dxa"/>
            <w:vAlign w:val="center"/>
          </w:tcPr>
          <w:p w14:paraId="2D58D950">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500" w:type="dxa"/>
            <w:vAlign w:val="center"/>
          </w:tcPr>
          <w:p w14:paraId="58F72513">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00" w:type="dxa"/>
          </w:tcPr>
          <w:p w14:paraId="0B1AB0B9">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369" w:type="dxa"/>
          </w:tcPr>
          <w:p w14:paraId="6DBED924">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56" w:type="dxa"/>
            <w:vAlign w:val="center"/>
          </w:tcPr>
          <w:p w14:paraId="317D39BD">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668" w:type="dxa"/>
            <w:vAlign w:val="center"/>
          </w:tcPr>
          <w:p w14:paraId="572A0485">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r>
      <w:tr w14:paraId="2F1CB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1" w:type="dxa"/>
            <w:vAlign w:val="center"/>
          </w:tcPr>
          <w:p w14:paraId="0FBE6CC9">
            <w:pPr>
              <w:jc w:val="center"/>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2-3</w:t>
            </w:r>
          </w:p>
        </w:tc>
        <w:tc>
          <w:tcPr>
            <w:tcW w:w="4625" w:type="dxa"/>
            <w:vAlign w:val="center"/>
          </w:tcPr>
          <w:p w14:paraId="3DC7F042">
            <w:pP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bCs/>
                <w:kern w:val="0"/>
                <w:sz w:val="24"/>
                <w:szCs w:val="24"/>
                <w:highlight w:val="none"/>
              </w:rPr>
              <w:t>重组条件</w:t>
            </w:r>
          </w:p>
        </w:tc>
        <w:tc>
          <w:tcPr>
            <w:tcW w:w="1163" w:type="dxa"/>
            <w:vAlign w:val="center"/>
          </w:tcPr>
          <w:p w14:paraId="0C7DBA32">
            <w:pPr>
              <w:rPr>
                <w:rFonts w:hint="default" w:ascii="Times New Roman" w:hAnsi="Times New Roman" w:eastAsia="仿宋_GB2312" w:cs="Times New Roman"/>
                <w:bCs/>
                <w:color w:val="000000" w:themeColor="text1"/>
                <w:kern w:val="0"/>
                <w:sz w:val="24"/>
                <w:szCs w:val="24"/>
                <w:highlight w:val="none"/>
                <w14:textFill>
                  <w14:solidFill>
                    <w14:schemeClr w14:val="tx1"/>
                  </w14:solidFill>
                </w14:textFill>
              </w:rPr>
            </w:pPr>
          </w:p>
        </w:tc>
        <w:tc>
          <w:tcPr>
            <w:tcW w:w="2193" w:type="dxa"/>
            <w:vAlign w:val="center"/>
          </w:tcPr>
          <w:p w14:paraId="54CCBA55">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500" w:type="dxa"/>
            <w:vAlign w:val="center"/>
          </w:tcPr>
          <w:p w14:paraId="1F279FA0">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00" w:type="dxa"/>
          </w:tcPr>
          <w:p w14:paraId="0FA1B908">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369" w:type="dxa"/>
          </w:tcPr>
          <w:p w14:paraId="53718BE7">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56" w:type="dxa"/>
            <w:vAlign w:val="center"/>
          </w:tcPr>
          <w:p w14:paraId="694F466D">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668" w:type="dxa"/>
            <w:vAlign w:val="center"/>
          </w:tcPr>
          <w:p w14:paraId="368311CF">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r>
      <w:tr w14:paraId="733A7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1" w:type="dxa"/>
            <w:vAlign w:val="center"/>
          </w:tcPr>
          <w:p w14:paraId="1CC5D95B">
            <w:pPr>
              <w:jc w:val="center"/>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2-4</w:t>
            </w:r>
          </w:p>
        </w:tc>
        <w:tc>
          <w:tcPr>
            <w:tcW w:w="4625" w:type="dxa"/>
            <w:vAlign w:val="center"/>
          </w:tcPr>
          <w:p w14:paraId="6CAC8C14">
            <w:pPr>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重组上市条件</w:t>
            </w:r>
          </w:p>
        </w:tc>
        <w:tc>
          <w:tcPr>
            <w:tcW w:w="1163" w:type="dxa"/>
            <w:vAlign w:val="center"/>
          </w:tcPr>
          <w:p w14:paraId="7D64429A">
            <w:pPr>
              <w:rPr>
                <w:rFonts w:hint="default" w:ascii="Times New Roman" w:hAnsi="Times New Roman" w:eastAsia="仿宋_GB2312" w:cs="Times New Roman"/>
                <w:bCs/>
                <w:color w:val="000000" w:themeColor="text1"/>
                <w:kern w:val="0"/>
                <w:sz w:val="24"/>
                <w:szCs w:val="24"/>
                <w:highlight w:val="none"/>
                <w14:textFill>
                  <w14:solidFill>
                    <w14:schemeClr w14:val="tx1"/>
                  </w14:solidFill>
                </w14:textFill>
              </w:rPr>
            </w:pPr>
          </w:p>
        </w:tc>
        <w:tc>
          <w:tcPr>
            <w:tcW w:w="2193" w:type="dxa"/>
            <w:vAlign w:val="center"/>
          </w:tcPr>
          <w:p w14:paraId="4A143368">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500" w:type="dxa"/>
            <w:vAlign w:val="center"/>
          </w:tcPr>
          <w:p w14:paraId="6B69BFD6">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00" w:type="dxa"/>
          </w:tcPr>
          <w:p w14:paraId="0EDAAF2B">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369" w:type="dxa"/>
          </w:tcPr>
          <w:p w14:paraId="05B3B270">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56" w:type="dxa"/>
            <w:vAlign w:val="center"/>
          </w:tcPr>
          <w:p w14:paraId="57490C29">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668" w:type="dxa"/>
            <w:vAlign w:val="center"/>
          </w:tcPr>
          <w:p w14:paraId="598D0E40">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r>
      <w:tr w14:paraId="6876D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1" w:type="dxa"/>
            <w:vAlign w:val="center"/>
          </w:tcPr>
          <w:p w14:paraId="4C08E625">
            <w:pPr>
              <w:jc w:val="center"/>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2-5</w:t>
            </w:r>
          </w:p>
        </w:tc>
        <w:tc>
          <w:tcPr>
            <w:tcW w:w="4625" w:type="dxa"/>
            <w:vAlign w:val="center"/>
          </w:tcPr>
          <w:p w14:paraId="7568A6DF">
            <w:pP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kern w:val="0"/>
                <w:sz w:val="24"/>
                <w:szCs w:val="24"/>
                <w:highlight w:val="none"/>
              </w:rPr>
              <w:t>募集配套资金条件</w:t>
            </w:r>
          </w:p>
        </w:tc>
        <w:tc>
          <w:tcPr>
            <w:tcW w:w="1163" w:type="dxa"/>
            <w:vAlign w:val="center"/>
          </w:tcPr>
          <w:p w14:paraId="427CE036">
            <w:pPr>
              <w:rPr>
                <w:rFonts w:hint="default" w:ascii="Times New Roman" w:hAnsi="Times New Roman" w:eastAsia="仿宋_GB2312" w:cs="Times New Roman"/>
                <w:bCs/>
                <w:color w:val="000000" w:themeColor="text1"/>
                <w:kern w:val="0"/>
                <w:sz w:val="24"/>
                <w:szCs w:val="24"/>
                <w:highlight w:val="none"/>
                <w14:textFill>
                  <w14:solidFill>
                    <w14:schemeClr w14:val="tx1"/>
                  </w14:solidFill>
                </w14:textFill>
              </w:rPr>
            </w:pPr>
          </w:p>
        </w:tc>
        <w:tc>
          <w:tcPr>
            <w:tcW w:w="2193" w:type="dxa"/>
            <w:vAlign w:val="center"/>
          </w:tcPr>
          <w:p w14:paraId="68E90651">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500" w:type="dxa"/>
            <w:vAlign w:val="center"/>
          </w:tcPr>
          <w:p w14:paraId="5CF1745C">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00" w:type="dxa"/>
          </w:tcPr>
          <w:p w14:paraId="34E1A491">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369" w:type="dxa"/>
          </w:tcPr>
          <w:p w14:paraId="0A858C72">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56" w:type="dxa"/>
            <w:vAlign w:val="center"/>
          </w:tcPr>
          <w:p w14:paraId="44C115DF">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668" w:type="dxa"/>
            <w:vAlign w:val="center"/>
          </w:tcPr>
          <w:p w14:paraId="7DC6DB6E">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r>
      <w:tr w14:paraId="6818F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1" w:type="dxa"/>
            <w:vAlign w:val="center"/>
          </w:tcPr>
          <w:p w14:paraId="18F20436">
            <w:pPr>
              <w:jc w:val="center"/>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2-6</w:t>
            </w:r>
          </w:p>
        </w:tc>
        <w:tc>
          <w:tcPr>
            <w:tcW w:w="4625" w:type="dxa"/>
            <w:vAlign w:val="center"/>
          </w:tcPr>
          <w:p w14:paraId="1DF8A60E">
            <w:pP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bCs/>
                <w:kern w:val="0"/>
                <w:sz w:val="24"/>
                <w:szCs w:val="24"/>
                <w:highlight w:val="none"/>
              </w:rPr>
              <w:t>标的资产——行业准入及经营资质</w:t>
            </w:r>
          </w:p>
        </w:tc>
        <w:tc>
          <w:tcPr>
            <w:tcW w:w="1163" w:type="dxa"/>
            <w:vAlign w:val="center"/>
          </w:tcPr>
          <w:p w14:paraId="223AA22B">
            <w:pPr>
              <w:rPr>
                <w:rFonts w:hint="default" w:ascii="Times New Roman" w:hAnsi="Times New Roman" w:eastAsia="仿宋_GB2312" w:cs="Times New Roman"/>
                <w:bCs/>
                <w:color w:val="000000" w:themeColor="text1"/>
                <w:kern w:val="0"/>
                <w:sz w:val="24"/>
                <w:szCs w:val="24"/>
                <w:highlight w:val="none"/>
                <w14:textFill>
                  <w14:solidFill>
                    <w14:schemeClr w14:val="tx1"/>
                  </w14:solidFill>
                </w14:textFill>
              </w:rPr>
            </w:pPr>
          </w:p>
        </w:tc>
        <w:tc>
          <w:tcPr>
            <w:tcW w:w="2193" w:type="dxa"/>
            <w:vAlign w:val="center"/>
          </w:tcPr>
          <w:p w14:paraId="4DD5A6E0">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500" w:type="dxa"/>
            <w:vAlign w:val="center"/>
          </w:tcPr>
          <w:p w14:paraId="75958182">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00" w:type="dxa"/>
          </w:tcPr>
          <w:p w14:paraId="7657B27E">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369" w:type="dxa"/>
          </w:tcPr>
          <w:p w14:paraId="32F32DE7">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56" w:type="dxa"/>
            <w:vAlign w:val="center"/>
          </w:tcPr>
          <w:p w14:paraId="1A90F2E8">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668" w:type="dxa"/>
            <w:vAlign w:val="center"/>
          </w:tcPr>
          <w:p w14:paraId="2718C856">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r>
      <w:tr w14:paraId="19D5D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1" w:type="dxa"/>
            <w:vAlign w:val="center"/>
          </w:tcPr>
          <w:p w14:paraId="5EF78999">
            <w:pPr>
              <w:jc w:val="center"/>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2-7</w:t>
            </w:r>
          </w:p>
        </w:tc>
        <w:tc>
          <w:tcPr>
            <w:tcW w:w="4625" w:type="dxa"/>
            <w:vAlign w:val="center"/>
          </w:tcPr>
          <w:p w14:paraId="25E37854">
            <w:pPr>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标的资产——权属状况</w:t>
            </w:r>
          </w:p>
        </w:tc>
        <w:tc>
          <w:tcPr>
            <w:tcW w:w="1163" w:type="dxa"/>
            <w:vAlign w:val="center"/>
          </w:tcPr>
          <w:p w14:paraId="724CAB63">
            <w:pPr>
              <w:rPr>
                <w:rFonts w:hint="default" w:ascii="Times New Roman" w:hAnsi="Times New Roman" w:eastAsia="仿宋_GB2312" w:cs="Times New Roman"/>
                <w:bCs/>
                <w:color w:val="000000" w:themeColor="text1"/>
                <w:kern w:val="0"/>
                <w:sz w:val="24"/>
                <w:szCs w:val="24"/>
                <w:highlight w:val="none"/>
                <w14:textFill>
                  <w14:solidFill>
                    <w14:schemeClr w14:val="tx1"/>
                  </w14:solidFill>
                </w14:textFill>
              </w:rPr>
            </w:pPr>
          </w:p>
        </w:tc>
        <w:tc>
          <w:tcPr>
            <w:tcW w:w="2193" w:type="dxa"/>
            <w:vAlign w:val="center"/>
          </w:tcPr>
          <w:p w14:paraId="53D484A9">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500" w:type="dxa"/>
            <w:vAlign w:val="center"/>
          </w:tcPr>
          <w:p w14:paraId="27592820">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00" w:type="dxa"/>
          </w:tcPr>
          <w:p w14:paraId="5966268C">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369" w:type="dxa"/>
          </w:tcPr>
          <w:p w14:paraId="1DD015EC">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56" w:type="dxa"/>
            <w:vAlign w:val="center"/>
          </w:tcPr>
          <w:p w14:paraId="0491B295">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668" w:type="dxa"/>
            <w:vAlign w:val="center"/>
          </w:tcPr>
          <w:p w14:paraId="65A5F934">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r>
      <w:tr w14:paraId="14F76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1" w:type="dxa"/>
            <w:vAlign w:val="center"/>
          </w:tcPr>
          <w:p w14:paraId="7C5720D8">
            <w:pPr>
              <w:jc w:val="center"/>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2-8</w:t>
            </w:r>
          </w:p>
        </w:tc>
        <w:tc>
          <w:tcPr>
            <w:tcW w:w="4625" w:type="dxa"/>
            <w:vAlign w:val="center"/>
          </w:tcPr>
          <w:p w14:paraId="7D7DDDA4">
            <w:pPr>
              <w:autoSpaceDE w:val="0"/>
              <w:autoSpaceDN w:val="0"/>
              <w:adjustRightInd w:val="0"/>
              <w:rPr>
                <w:rFonts w:hint="default" w:ascii="Times New Roman" w:hAnsi="Times New Roman" w:eastAsia="仿宋_GB2312" w:cs="Times New Roman"/>
                <w:bCs/>
                <w:kern w:val="0"/>
                <w:sz w:val="24"/>
                <w:szCs w:val="24"/>
                <w:highlight w:val="none"/>
              </w:rPr>
            </w:pPr>
            <w:r>
              <w:rPr>
                <w:rFonts w:hint="default" w:ascii="Times New Roman" w:hAnsi="Times New Roman" w:eastAsia="仿宋_GB2312" w:cs="Times New Roman"/>
                <w:b/>
                <w:kern w:val="0"/>
                <w:sz w:val="24"/>
                <w:szCs w:val="24"/>
                <w:highlight w:val="none"/>
              </w:rPr>
              <w:t>标的资产——资金占用</w:t>
            </w:r>
          </w:p>
        </w:tc>
        <w:tc>
          <w:tcPr>
            <w:tcW w:w="1163" w:type="dxa"/>
            <w:vAlign w:val="center"/>
          </w:tcPr>
          <w:p w14:paraId="45F9E5D6">
            <w:pPr>
              <w:rPr>
                <w:rFonts w:hint="default" w:ascii="Times New Roman" w:hAnsi="Times New Roman" w:eastAsia="仿宋_GB2312" w:cs="Times New Roman"/>
                <w:bCs/>
                <w:color w:val="000000" w:themeColor="text1"/>
                <w:kern w:val="0"/>
                <w:sz w:val="24"/>
                <w:szCs w:val="24"/>
                <w:highlight w:val="none"/>
                <w14:textFill>
                  <w14:solidFill>
                    <w14:schemeClr w14:val="tx1"/>
                  </w14:solidFill>
                </w14:textFill>
              </w:rPr>
            </w:pPr>
          </w:p>
        </w:tc>
        <w:tc>
          <w:tcPr>
            <w:tcW w:w="2193" w:type="dxa"/>
            <w:vAlign w:val="center"/>
          </w:tcPr>
          <w:p w14:paraId="01E22B37">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500" w:type="dxa"/>
            <w:vAlign w:val="center"/>
          </w:tcPr>
          <w:p w14:paraId="41BBB5E7">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00" w:type="dxa"/>
          </w:tcPr>
          <w:p w14:paraId="285610FE">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369" w:type="dxa"/>
          </w:tcPr>
          <w:p w14:paraId="74AC9083">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56" w:type="dxa"/>
            <w:vAlign w:val="center"/>
          </w:tcPr>
          <w:p w14:paraId="7F0147C5">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668" w:type="dxa"/>
            <w:vAlign w:val="center"/>
          </w:tcPr>
          <w:p w14:paraId="12B0A0F9">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r>
      <w:tr w14:paraId="28829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1" w:type="dxa"/>
            <w:vAlign w:val="center"/>
          </w:tcPr>
          <w:p w14:paraId="42AE10F5">
            <w:pPr>
              <w:jc w:val="center"/>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2-9</w:t>
            </w:r>
          </w:p>
        </w:tc>
        <w:tc>
          <w:tcPr>
            <w:tcW w:w="4625" w:type="dxa"/>
            <w:vAlign w:val="center"/>
          </w:tcPr>
          <w:p w14:paraId="166FA9B3">
            <w:pPr>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kern w:val="0"/>
                <w:sz w:val="24"/>
                <w:szCs w:val="24"/>
                <w:highlight w:val="none"/>
              </w:rPr>
              <w:t>标的资产——VIE协议控制架构</w:t>
            </w:r>
          </w:p>
        </w:tc>
        <w:tc>
          <w:tcPr>
            <w:tcW w:w="1163" w:type="dxa"/>
            <w:vAlign w:val="center"/>
          </w:tcPr>
          <w:p w14:paraId="1D1AAA15">
            <w:pPr>
              <w:rPr>
                <w:rFonts w:hint="default" w:ascii="Times New Roman" w:hAnsi="Times New Roman" w:eastAsia="仿宋_GB2312" w:cs="Times New Roman"/>
                <w:bCs/>
                <w:color w:val="000000" w:themeColor="text1"/>
                <w:kern w:val="0"/>
                <w:sz w:val="24"/>
                <w:szCs w:val="24"/>
                <w:highlight w:val="none"/>
                <w14:textFill>
                  <w14:solidFill>
                    <w14:schemeClr w14:val="tx1"/>
                  </w14:solidFill>
                </w14:textFill>
              </w:rPr>
            </w:pPr>
          </w:p>
        </w:tc>
        <w:tc>
          <w:tcPr>
            <w:tcW w:w="2193" w:type="dxa"/>
            <w:vAlign w:val="center"/>
          </w:tcPr>
          <w:p w14:paraId="7500C898">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500" w:type="dxa"/>
            <w:vAlign w:val="center"/>
          </w:tcPr>
          <w:p w14:paraId="4EF8B7E5">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00" w:type="dxa"/>
          </w:tcPr>
          <w:p w14:paraId="5622B0E8">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369" w:type="dxa"/>
          </w:tcPr>
          <w:p w14:paraId="4ECBE219">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56" w:type="dxa"/>
            <w:vAlign w:val="center"/>
          </w:tcPr>
          <w:p w14:paraId="63BE9ED7">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668" w:type="dxa"/>
            <w:vAlign w:val="center"/>
          </w:tcPr>
          <w:p w14:paraId="1048C6FD">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r>
      <w:tr w14:paraId="40053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1" w:type="dxa"/>
            <w:vAlign w:val="center"/>
          </w:tcPr>
          <w:p w14:paraId="19BADABF">
            <w:pPr>
              <w:jc w:val="center"/>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2-10</w:t>
            </w:r>
          </w:p>
        </w:tc>
        <w:tc>
          <w:tcPr>
            <w:tcW w:w="4625" w:type="dxa"/>
            <w:vAlign w:val="center"/>
          </w:tcPr>
          <w:p w14:paraId="2C44282D">
            <w:pPr>
              <w:jc w:val="left"/>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标的资产——曾在新三板挂牌、前次IPO和重组被否或终止</w:t>
            </w:r>
          </w:p>
        </w:tc>
        <w:tc>
          <w:tcPr>
            <w:tcW w:w="1163" w:type="dxa"/>
            <w:vAlign w:val="center"/>
          </w:tcPr>
          <w:p w14:paraId="46CA231B">
            <w:pPr>
              <w:rPr>
                <w:rFonts w:hint="default" w:ascii="Times New Roman" w:hAnsi="Times New Roman" w:eastAsia="仿宋_GB2312" w:cs="Times New Roman"/>
                <w:bCs/>
                <w:color w:val="000000" w:themeColor="text1"/>
                <w:kern w:val="0"/>
                <w:sz w:val="24"/>
                <w:szCs w:val="24"/>
                <w:highlight w:val="none"/>
                <w14:textFill>
                  <w14:solidFill>
                    <w14:schemeClr w14:val="tx1"/>
                  </w14:solidFill>
                </w14:textFill>
              </w:rPr>
            </w:pPr>
          </w:p>
        </w:tc>
        <w:tc>
          <w:tcPr>
            <w:tcW w:w="2193" w:type="dxa"/>
            <w:vAlign w:val="center"/>
          </w:tcPr>
          <w:p w14:paraId="6404BD35">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500" w:type="dxa"/>
            <w:vAlign w:val="center"/>
          </w:tcPr>
          <w:p w14:paraId="51F64087">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00" w:type="dxa"/>
          </w:tcPr>
          <w:p w14:paraId="784DB7D1">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369" w:type="dxa"/>
          </w:tcPr>
          <w:p w14:paraId="2122C913">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56" w:type="dxa"/>
            <w:vAlign w:val="center"/>
          </w:tcPr>
          <w:p w14:paraId="65868A26">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668" w:type="dxa"/>
            <w:vAlign w:val="center"/>
          </w:tcPr>
          <w:p w14:paraId="4357ACEA">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r>
      <w:tr w14:paraId="05846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1" w:type="dxa"/>
            <w:vAlign w:val="center"/>
          </w:tcPr>
          <w:p w14:paraId="497795E7">
            <w:pPr>
              <w:jc w:val="center"/>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2-11</w:t>
            </w:r>
          </w:p>
        </w:tc>
        <w:tc>
          <w:tcPr>
            <w:tcW w:w="4625" w:type="dxa"/>
            <w:vAlign w:val="center"/>
          </w:tcPr>
          <w:p w14:paraId="4C183107">
            <w:pPr>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bCs/>
                <w:kern w:val="0"/>
                <w:sz w:val="24"/>
                <w:szCs w:val="24"/>
                <w:highlight w:val="none"/>
              </w:rPr>
              <w:t>交易对方——标的资产股东人数</w:t>
            </w:r>
          </w:p>
        </w:tc>
        <w:tc>
          <w:tcPr>
            <w:tcW w:w="1163" w:type="dxa"/>
            <w:vAlign w:val="center"/>
          </w:tcPr>
          <w:p w14:paraId="73A52C62">
            <w:pPr>
              <w:rPr>
                <w:rFonts w:hint="default" w:ascii="Times New Roman" w:hAnsi="Times New Roman" w:eastAsia="仿宋_GB2312" w:cs="Times New Roman"/>
                <w:bCs/>
                <w:color w:val="000000" w:themeColor="text1"/>
                <w:kern w:val="0"/>
                <w:sz w:val="24"/>
                <w:szCs w:val="24"/>
                <w:highlight w:val="none"/>
                <w14:textFill>
                  <w14:solidFill>
                    <w14:schemeClr w14:val="tx1"/>
                  </w14:solidFill>
                </w14:textFill>
              </w:rPr>
            </w:pPr>
          </w:p>
        </w:tc>
        <w:tc>
          <w:tcPr>
            <w:tcW w:w="2193" w:type="dxa"/>
            <w:vAlign w:val="center"/>
          </w:tcPr>
          <w:p w14:paraId="6B28BFD5">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500" w:type="dxa"/>
            <w:vAlign w:val="center"/>
          </w:tcPr>
          <w:p w14:paraId="512DD7EC">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00" w:type="dxa"/>
          </w:tcPr>
          <w:p w14:paraId="02956DAF">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369" w:type="dxa"/>
          </w:tcPr>
          <w:p w14:paraId="6D8D72E1">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56" w:type="dxa"/>
            <w:vAlign w:val="center"/>
          </w:tcPr>
          <w:p w14:paraId="06FC4B8D">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668" w:type="dxa"/>
            <w:vAlign w:val="center"/>
          </w:tcPr>
          <w:p w14:paraId="77527B96">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r>
      <w:tr w14:paraId="4F145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1" w:type="dxa"/>
            <w:vAlign w:val="center"/>
          </w:tcPr>
          <w:p w14:paraId="7456D901">
            <w:pPr>
              <w:jc w:val="center"/>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2-12</w:t>
            </w:r>
          </w:p>
        </w:tc>
        <w:tc>
          <w:tcPr>
            <w:tcW w:w="4625" w:type="dxa"/>
            <w:vAlign w:val="center"/>
          </w:tcPr>
          <w:p w14:paraId="7037F472">
            <w:pPr>
              <w:autoSpaceDE w:val="0"/>
              <w:autoSpaceDN w:val="0"/>
              <w:adjustRightInd w:val="0"/>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bCs/>
                <w:kern w:val="0"/>
                <w:sz w:val="24"/>
                <w:szCs w:val="24"/>
                <w:highlight w:val="none"/>
              </w:rPr>
              <w:t>交易对方——涉及合伙企业、契约型私募基金、券商资管计划、信托计划、基金专户及基金子公司产品、理财产品、保险资管计划、专门为本次交易设立的公司等</w:t>
            </w:r>
          </w:p>
        </w:tc>
        <w:tc>
          <w:tcPr>
            <w:tcW w:w="1163" w:type="dxa"/>
            <w:vAlign w:val="center"/>
          </w:tcPr>
          <w:p w14:paraId="078F1025">
            <w:pPr>
              <w:rPr>
                <w:rFonts w:hint="default" w:ascii="Times New Roman" w:hAnsi="Times New Roman" w:eastAsia="仿宋_GB2312" w:cs="Times New Roman"/>
                <w:bCs/>
                <w:color w:val="000000" w:themeColor="text1"/>
                <w:kern w:val="0"/>
                <w:sz w:val="24"/>
                <w:szCs w:val="24"/>
                <w:highlight w:val="none"/>
                <w14:textFill>
                  <w14:solidFill>
                    <w14:schemeClr w14:val="tx1"/>
                  </w14:solidFill>
                </w14:textFill>
              </w:rPr>
            </w:pPr>
          </w:p>
        </w:tc>
        <w:tc>
          <w:tcPr>
            <w:tcW w:w="2193" w:type="dxa"/>
            <w:vAlign w:val="center"/>
          </w:tcPr>
          <w:p w14:paraId="2FB678B9">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500" w:type="dxa"/>
            <w:vAlign w:val="center"/>
          </w:tcPr>
          <w:p w14:paraId="2BF60AD8">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00" w:type="dxa"/>
          </w:tcPr>
          <w:p w14:paraId="02C3DEA0">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369" w:type="dxa"/>
          </w:tcPr>
          <w:p w14:paraId="404800B4">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56" w:type="dxa"/>
            <w:vAlign w:val="center"/>
          </w:tcPr>
          <w:p w14:paraId="307D55AC">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668" w:type="dxa"/>
            <w:vAlign w:val="center"/>
          </w:tcPr>
          <w:p w14:paraId="0AA01144">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r>
      <w:tr w14:paraId="30E49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1" w:type="dxa"/>
            <w:vAlign w:val="center"/>
          </w:tcPr>
          <w:p w14:paraId="37B0A17F">
            <w:pPr>
              <w:jc w:val="center"/>
              <w:rPr>
                <w:rFonts w:hint="default" w:ascii="Times New Roman" w:hAnsi="Times New Roman" w:eastAsia="仿宋_GB2312" w:cs="Times New Roman"/>
                <w:b/>
                <w:kern w:val="0"/>
                <w:sz w:val="24"/>
                <w:szCs w:val="24"/>
                <w:highlight w:val="none"/>
                <w:lang w:val="en-US" w:eastAsia="zh-CN"/>
              </w:rPr>
            </w:pPr>
            <w:r>
              <w:rPr>
                <w:rFonts w:hint="default" w:ascii="Times New Roman" w:hAnsi="Times New Roman" w:eastAsia="仿宋_GB2312" w:cs="Times New Roman"/>
                <w:b/>
                <w:kern w:val="0"/>
                <w:sz w:val="24"/>
                <w:szCs w:val="24"/>
                <w:highlight w:val="none"/>
                <w:lang w:val="en-US" w:eastAsia="zh-CN"/>
              </w:rPr>
              <w:t>2-13</w:t>
            </w:r>
          </w:p>
        </w:tc>
        <w:tc>
          <w:tcPr>
            <w:tcW w:w="4625" w:type="dxa"/>
            <w:vAlign w:val="center"/>
          </w:tcPr>
          <w:p w14:paraId="03B029A6">
            <w:pPr>
              <w:autoSpaceDE w:val="0"/>
              <w:autoSpaceDN w:val="0"/>
              <w:adjustRightInd w:val="0"/>
              <w:rPr>
                <w:rFonts w:hint="default" w:ascii="Times New Roman" w:hAnsi="Times New Roman" w:eastAsia="仿宋_GB2312" w:cs="Times New Roman"/>
                <w:b/>
                <w:kern w:val="0"/>
                <w:sz w:val="24"/>
                <w:szCs w:val="24"/>
                <w:highlight w:val="none"/>
                <w:lang w:eastAsia="zh-CN"/>
              </w:rPr>
            </w:pPr>
            <w:r>
              <w:rPr>
                <w:rFonts w:hint="default" w:ascii="Times New Roman" w:hAnsi="Times New Roman" w:eastAsia="仿宋_GB2312" w:cs="Times New Roman"/>
                <w:b/>
                <w:kern w:val="0"/>
                <w:sz w:val="24"/>
                <w:szCs w:val="24"/>
                <w:highlight w:val="none"/>
                <w:lang w:eastAsia="zh-CN"/>
              </w:rPr>
              <w:t>同业竞争</w:t>
            </w:r>
          </w:p>
        </w:tc>
        <w:tc>
          <w:tcPr>
            <w:tcW w:w="1163" w:type="dxa"/>
            <w:vAlign w:val="center"/>
          </w:tcPr>
          <w:p w14:paraId="6E38F0C8">
            <w:pPr>
              <w:rPr>
                <w:rFonts w:hint="default" w:ascii="Times New Roman" w:hAnsi="Times New Roman" w:eastAsia="仿宋_GB2312" w:cs="Times New Roman"/>
                <w:bCs/>
                <w:color w:val="000000" w:themeColor="text1"/>
                <w:kern w:val="0"/>
                <w:sz w:val="24"/>
                <w:szCs w:val="24"/>
                <w:highlight w:val="none"/>
                <w14:textFill>
                  <w14:solidFill>
                    <w14:schemeClr w14:val="tx1"/>
                  </w14:solidFill>
                </w14:textFill>
              </w:rPr>
            </w:pPr>
          </w:p>
        </w:tc>
        <w:tc>
          <w:tcPr>
            <w:tcW w:w="2193" w:type="dxa"/>
            <w:vAlign w:val="center"/>
          </w:tcPr>
          <w:p w14:paraId="1033B2A7">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500" w:type="dxa"/>
            <w:vAlign w:val="center"/>
          </w:tcPr>
          <w:p w14:paraId="061734E5">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00" w:type="dxa"/>
          </w:tcPr>
          <w:p w14:paraId="731B99CB">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369" w:type="dxa"/>
          </w:tcPr>
          <w:p w14:paraId="50DAC595">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56" w:type="dxa"/>
            <w:vAlign w:val="center"/>
          </w:tcPr>
          <w:p w14:paraId="5087B0C4">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668" w:type="dxa"/>
            <w:vAlign w:val="center"/>
          </w:tcPr>
          <w:p w14:paraId="05756BE2">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r>
      <w:tr w14:paraId="4999A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1" w:type="dxa"/>
            <w:vAlign w:val="center"/>
          </w:tcPr>
          <w:p w14:paraId="647736D1">
            <w:pPr>
              <w:jc w:val="center"/>
              <w:rPr>
                <w:rFonts w:hint="default" w:ascii="Times New Roman" w:hAnsi="Times New Roman" w:eastAsia="仿宋_GB2312" w:cs="Times New Roman"/>
                <w:b/>
                <w:kern w:val="0"/>
                <w:sz w:val="24"/>
                <w:szCs w:val="24"/>
                <w:highlight w:val="none"/>
                <w:lang w:val="en-US" w:eastAsia="zh-CN"/>
              </w:rPr>
            </w:pPr>
            <w:r>
              <w:rPr>
                <w:rFonts w:hint="default" w:ascii="Times New Roman" w:hAnsi="Times New Roman" w:eastAsia="仿宋_GB2312" w:cs="Times New Roman"/>
                <w:b/>
                <w:kern w:val="0"/>
                <w:sz w:val="24"/>
                <w:szCs w:val="24"/>
                <w:highlight w:val="none"/>
                <w:lang w:val="en-US" w:eastAsia="zh-CN"/>
              </w:rPr>
              <w:t>2-14</w:t>
            </w:r>
          </w:p>
        </w:tc>
        <w:tc>
          <w:tcPr>
            <w:tcW w:w="4625" w:type="dxa"/>
            <w:vAlign w:val="center"/>
          </w:tcPr>
          <w:p w14:paraId="0C416FA3">
            <w:pPr>
              <w:autoSpaceDE w:val="0"/>
              <w:autoSpaceDN w:val="0"/>
              <w:adjustRightInd w:val="0"/>
              <w:rPr>
                <w:rFonts w:hint="default" w:ascii="Times New Roman" w:hAnsi="Times New Roman" w:eastAsia="仿宋_GB2312" w:cs="Times New Roman"/>
                <w:b/>
                <w:kern w:val="0"/>
                <w:sz w:val="24"/>
                <w:szCs w:val="24"/>
                <w:highlight w:val="none"/>
                <w:lang w:eastAsia="zh-CN"/>
              </w:rPr>
            </w:pPr>
            <w:r>
              <w:rPr>
                <w:rFonts w:hint="default" w:ascii="Times New Roman" w:hAnsi="Times New Roman" w:eastAsia="仿宋_GB2312" w:cs="Times New Roman"/>
                <w:b/>
                <w:kern w:val="0"/>
                <w:sz w:val="24"/>
                <w:szCs w:val="24"/>
                <w:highlight w:val="none"/>
                <w:lang w:eastAsia="zh-CN"/>
              </w:rPr>
              <w:t>关联交易</w:t>
            </w:r>
          </w:p>
        </w:tc>
        <w:tc>
          <w:tcPr>
            <w:tcW w:w="1163" w:type="dxa"/>
            <w:vAlign w:val="center"/>
          </w:tcPr>
          <w:p w14:paraId="732D98E5">
            <w:pPr>
              <w:rPr>
                <w:rFonts w:hint="default" w:ascii="Times New Roman" w:hAnsi="Times New Roman" w:eastAsia="仿宋_GB2312" w:cs="Times New Roman"/>
                <w:bCs/>
                <w:color w:val="000000" w:themeColor="text1"/>
                <w:kern w:val="0"/>
                <w:sz w:val="24"/>
                <w:szCs w:val="24"/>
                <w:highlight w:val="none"/>
                <w14:textFill>
                  <w14:solidFill>
                    <w14:schemeClr w14:val="tx1"/>
                  </w14:solidFill>
                </w14:textFill>
              </w:rPr>
            </w:pPr>
          </w:p>
        </w:tc>
        <w:tc>
          <w:tcPr>
            <w:tcW w:w="2193" w:type="dxa"/>
            <w:vAlign w:val="center"/>
          </w:tcPr>
          <w:p w14:paraId="2E91D049">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500" w:type="dxa"/>
            <w:vAlign w:val="center"/>
          </w:tcPr>
          <w:p w14:paraId="710AF52E">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00" w:type="dxa"/>
          </w:tcPr>
          <w:p w14:paraId="30779288">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369" w:type="dxa"/>
          </w:tcPr>
          <w:p w14:paraId="32BB2786">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56" w:type="dxa"/>
            <w:vAlign w:val="center"/>
          </w:tcPr>
          <w:p w14:paraId="17BFA3F4">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668" w:type="dxa"/>
            <w:vAlign w:val="center"/>
          </w:tcPr>
          <w:p w14:paraId="771FEF30">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r>
      <w:tr w14:paraId="7D5EC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1" w:type="dxa"/>
            <w:vAlign w:val="center"/>
          </w:tcPr>
          <w:p w14:paraId="5418631C">
            <w:pPr>
              <w:jc w:val="center"/>
              <w:rPr>
                <w:rFonts w:hint="default" w:ascii="Times New Roman" w:hAnsi="Times New Roman" w:eastAsia="仿宋_GB2312" w:cs="Times New Roman"/>
                <w:b/>
                <w:kern w:val="0"/>
                <w:sz w:val="24"/>
                <w:szCs w:val="24"/>
                <w:highlight w:val="none"/>
                <w:lang w:val="en-US" w:eastAsia="zh-CN"/>
              </w:rPr>
            </w:pPr>
            <w:r>
              <w:rPr>
                <w:rFonts w:hint="default" w:ascii="Times New Roman" w:hAnsi="Times New Roman" w:eastAsia="仿宋_GB2312" w:cs="Times New Roman"/>
                <w:b/>
                <w:kern w:val="0"/>
                <w:sz w:val="24"/>
                <w:szCs w:val="24"/>
                <w:highlight w:val="none"/>
              </w:rPr>
              <w:t>2-1</w:t>
            </w:r>
            <w:r>
              <w:rPr>
                <w:rFonts w:hint="default" w:ascii="Times New Roman" w:hAnsi="Times New Roman" w:eastAsia="仿宋_GB2312" w:cs="Times New Roman"/>
                <w:b/>
                <w:kern w:val="0"/>
                <w:sz w:val="24"/>
                <w:szCs w:val="24"/>
                <w:highlight w:val="none"/>
                <w:lang w:val="en-US" w:eastAsia="zh-CN"/>
              </w:rPr>
              <w:t>5</w:t>
            </w:r>
          </w:p>
        </w:tc>
        <w:tc>
          <w:tcPr>
            <w:tcW w:w="4625" w:type="dxa"/>
            <w:vAlign w:val="center"/>
          </w:tcPr>
          <w:p w14:paraId="00392F46">
            <w:pPr>
              <w:autoSpaceDE w:val="0"/>
              <w:autoSpaceDN w:val="0"/>
              <w:adjustRightInd w:val="0"/>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承诺事项及舆情情况</w:t>
            </w:r>
          </w:p>
        </w:tc>
        <w:tc>
          <w:tcPr>
            <w:tcW w:w="1163" w:type="dxa"/>
            <w:vAlign w:val="center"/>
          </w:tcPr>
          <w:p w14:paraId="48D437B8">
            <w:pPr>
              <w:rPr>
                <w:rFonts w:hint="default" w:ascii="Times New Roman" w:hAnsi="Times New Roman" w:eastAsia="仿宋_GB2312" w:cs="Times New Roman"/>
                <w:bCs/>
                <w:color w:val="000000" w:themeColor="text1"/>
                <w:kern w:val="0"/>
                <w:sz w:val="24"/>
                <w:szCs w:val="24"/>
                <w:highlight w:val="none"/>
                <w14:textFill>
                  <w14:solidFill>
                    <w14:schemeClr w14:val="tx1"/>
                  </w14:solidFill>
                </w14:textFill>
              </w:rPr>
            </w:pPr>
          </w:p>
        </w:tc>
        <w:tc>
          <w:tcPr>
            <w:tcW w:w="2193" w:type="dxa"/>
            <w:vAlign w:val="center"/>
          </w:tcPr>
          <w:p w14:paraId="5D2FD1E3">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500" w:type="dxa"/>
            <w:vAlign w:val="center"/>
          </w:tcPr>
          <w:p w14:paraId="47386D0D">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00" w:type="dxa"/>
          </w:tcPr>
          <w:p w14:paraId="786FC216">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369" w:type="dxa"/>
          </w:tcPr>
          <w:p w14:paraId="57746607">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56" w:type="dxa"/>
            <w:vAlign w:val="center"/>
          </w:tcPr>
          <w:p w14:paraId="3A5D139C">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668" w:type="dxa"/>
            <w:vAlign w:val="center"/>
          </w:tcPr>
          <w:p w14:paraId="58E432C5">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r>
      <w:tr w14:paraId="60941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25" w:type="dxa"/>
            <w:gridSpan w:val="9"/>
            <w:vAlign w:val="center"/>
          </w:tcPr>
          <w:p w14:paraId="3FC47EE3">
            <w:pPr>
              <w:jc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t>三、关于标的资产估值与作价</w:t>
            </w:r>
          </w:p>
        </w:tc>
      </w:tr>
      <w:tr w14:paraId="11F81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1" w:type="dxa"/>
            <w:vAlign w:val="center"/>
          </w:tcPr>
          <w:p w14:paraId="08694AA9">
            <w:pPr>
              <w:jc w:val="cente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t>3-1</w:t>
            </w:r>
          </w:p>
        </w:tc>
        <w:tc>
          <w:tcPr>
            <w:tcW w:w="4625" w:type="dxa"/>
            <w:vAlign w:val="center"/>
          </w:tcPr>
          <w:p w14:paraId="0CCA039F">
            <w:pP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b/>
                <w:color w:val="000000" w:themeColor="text1"/>
                <w:spacing w:val="-4"/>
                <w:sz w:val="24"/>
                <w:szCs w:val="24"/>
                <w:highlight w:val="none"/>
                <w14:textFill>
                  <w14:solidFill>
                    <w14:schemeClr w14:val="tx1"/>
                  </w14:solidFill>
                </w14:textFill>
              </w:rPr>
              <w:t>本次</w:t>
            </w:r>
            <w:r>
              <w:rPr>
                <w:rFonts w:hint="default" w:ascii="Times New Roman" w:hAnsi="Times New Roman" w:eastAsia="仿宋_GB2312" w:cs="Times New Roman"/>
                <w:b/>
                <w:color w:val="000000" w:themeColor="text1"/>
                <w:spacing w:val="-3"/>
                <w:sz w:val="24"/>
                <w:szCs w:val="24"/>
                <w:highlight w:val="none"/>
                <w14:textFill>
                  <w14:solidFill>
                    <w14:schemeClr w14:val="tx1"/>
                  </w14:solidFill>
                </w14:textFill>
              </w:rPr>
              <w:t>交</w:t>
            </w:r>
            <w:r>
              <w:rPr>
                <w:rFonts w:hint="default" w:ascii="Times New Roman" w:hAnsi="Times New Roman" w:eastAsia="仿宋_GB2312" w:cs="Times New Roman"/>
                <w:b/>
                <w:color w:val="000000" w:themeColor="text1"/>
                <w:spacing w:val="-2"/>
                <w:sz w:val="24"/>
                <w:szCs w:val="24"/>
                <w:highlight w:val="none"/>
                <w14:textFill>
                  <w14:solidFill>
                    <w14:schemeClr w14:val="tx1"/>
                  </w14:solidFill>
                </w14:textFill>
              </w:rPr>
              <w:t>易</w:t>
            </w:r>
            <w:r>
              <w:rPr>
                <w:rFonts w:hint="default" w:ascii="Times New Roman" w:hAnsi="Times New Roman" w:eastAsia="仿宋_GB2312" w:cs="Times New Roman"/>
                <w:b/>
                <w:color w:val="000000" w:themeColor="text1"/>
                <w:spacing w:val="-4"/>
                <w:sz w:val="24"/>
                <w:szCs w:val="24"/>
                <w:highlight w:val="none"/>
                <w14:textFill>
                  <w14:solidFill>
                    <w14:schemeClr w14:val="tx1"/>
                  </w14:solidFill>
                </w14:textFill>
              </w:rPr>
              <w:t>以资</w:t>
            </w:r>
            <w:r>
              <w:rPr>
                <w:rFonts w:hint="default" w:ascii="Times New Roman" w:hAnsi="Times New Roman" w:eastAsia="仿宋_GB2312" w:cs="Times New Roman"/>
                <w:b/>
                <w:color w:val="000000" w:themeColor="text1"/>
                <w:spacing w:val="-3"/>
                <w:sz w:val="24"/>
                <w:szCs w:val="24"/>
                <w:highlight w:val="none"/>
                <w14:textFill>
                  <w14:solidFill>
                    <w14:schemeClr w14:val="tx1"/>
                  </w14:solidFill>
                </w14:textFill>
              </w:rPr>
              <w:t>产</w:t>
            </w:r>
            <w:r>
              <w:rPr>
                <w:rFonts w:hint="default" w:ascii="Times New Roman" w:hAnsi="Times New Roman" w:eastAsia="仿宋_GB2312" w:cs="Times New Roman"/>
                <w:b/>
                <w:color w:val="000000" w:themeColor="text1"/>
                <w:spacing w:val="-2"/>
                <w:sz w:val="24"/>
                <w:szCs w:val="24"/>
                <w:highlight w:val="none"/>
                <w14:textFill>
                  <w14:solidFill>
                    <w14:schemeClr w14:val="tx1"/>
                  </w14:solidFill>
                </w14:textFill>
              </w:rPr>
              <w:t>评估结</w:t>
            </w:r>
            <w:r>
              <w:rPr>
                <w:rFonts w:hint="default" w:ascii="Times New Roman" w:hAnsi="Times New Roman" w:eastAsia="仿宋_GB2312" w:cs="Times New Roman"/>
                <w:b/>
                <w:color w:val="000000" w:themeColor="text1"/>
                <w:spacing w:val="-4"/>
                <w:sz w:val="24"/>
                <w:szCs w:val="24"/>
                <w:highlight w:val="none"/>
                <w14:textFill>
                  <w14:solidFill>
                    <w14:schemeClr w14:val="tx1"/>
                  </w14:solidFill>
                </w14:textFill>
              </w:rPr>
              <w:t>果或</w:t>
            </w:r>
            <w:r>
              <w:rPr>
                <w:rFonts w:hint="default" w:ascii="Times New Roman" w:hAnsi="Times New Roman" w:eastAsia="仿宋_GB2312" w:cs="Times New Roman"/>
                <w:b/>
                <w:color w:val="000000" w:themeColor="text1"/>
                <w:spacing w:val="-3"/>
                <w:sz w:val="24"/>
                <w:szCs w:val="24"/>
                <w:highlight w:val="none"/>
                <w14:textFill>
                  <w14:solidFill>
                    <w14:schemeClr w14:val="tx1"/>
                  </w14:solidFill>
                </w14:textFill>
              </w:rPr>
              <w:t>估</w:t>
            </w:r>
            <w:r>
              <w:rPr>
                <w:rFonts w:hint="default" w:ascii="Times New Roman" w:hAnsi="Times New Roman" w:eastAsia="仿宋_GB2312" w:cs="Times New Roman"/>
                <w:b/>
                <w:color w:val="000000" w:themeColor="text1"/>
                <w:spacing w:val="-2"/>
                <w:sz w:val="24"/>
                <w:szCs w:val="24"/>
                <w:highlight w:val="none"/>
                <w14:textFill>
                  <w14:solidFill>
                    <w14:schemeClr w14:val="tx1"/>
                  </w14:solidFill>
                </w14:textFill>
              </w:rPr>
              <w:t>值报告</w:t>
            </w:r>
            <w:r>
              <w:rPr>
                <w:rFonts w:hint="default" w:ascii="Times New Roman" w:hAnsi="Times New Roman" w:eastAsia="仿宋_GB2312" w:cs="Times New Roman"/>
                <w:b/>
                <w:color w:val="000000" w:themeColor="text1"/>
                <w:spacing w:val="-4"/>
                <w:sz w:val="24"/>
                <w:szCs w:val="24"/>
                <w:highlight w:val="none"/>
                <w14:textFill>
                  <w14:solidFill>
                    <w14:schemeClr w14:val="tx1"/>
                  </w14:solidFill>
                </w14:textFill>
              </w:rPr>
              <w:t>结果</w:t>
            </w:r>
            <w:r>
              <w:rPr>
                <w:rFonts w:hint="default" w:ascii="Times New Roman" w:hAnsi="Times New Roman" w:eastAsia="仿宋_GB2312" w:cs="Times New Roman"/>
                <w:b/>
                <w:color w:val="000000" w:themeColor="text1"/>
                <w:spacing w:val="-3"/>
                <w:sz w:val="24"/>
                <w:szCs w:val="24"/>
                <w:highlight w:val="none"/>
                <w14:textFill>
                  <w14:solidFill>
                    <w14:schemeClr w14:val="tx1"/>
                  </w14:solidFill>
                </w14:textFill>
              </w:rPr>
              <w:t>作</w:t>
            </w:r>
            <w:r>
              <w:rPr>
                <w:rFonts w:hint="default" w:ascii="Times New Roman" w:hAnsi="Times New Roman" w:eastAsia="仿宋_GB2312" w:cs="Times New Roman"/>
                <w:b/>
                <w:color w:val="000000" w:themeColor="text1"/>
                <w:spacing w:val="-2"/>
                <w:sz w:val="24"/>
                <w:szCs w:val="24"/>
                <w:highlight w:val="none"/>
                <w14:textFill>
                  <w14:solidFill>
                    <w14:schemeClr w14:val="tx1"/>
                  </w14:solidFill>
                </w14:textFill>
              </w:rPr>
              <w:t>为定价</w:t>
            </w:r>
            <w:r>
              <w:rPr>
                <w:rFonts w:hint="default" w:ascii="Times New Roman" w:hAnsi="Times New Roman" w:eastAsia="仿宋_GB2312" w:cs="Times New Roman"/>
                <w:b/>
                <w:color w:val="000000" w:themeColor="text1"/>
                <w:spacing w:val="-5"/>
                <w:sz w:val="24"/>
                <w:szCs w:val="24"/>
                <w:highlight w:val="none"/>
                <w14:textFill>
                  <w14:solidFill>
                    <w14:schemeClr w14:val="tx1"/>
                  </w14:solidFill>
                </w14:textFill>
              </w:rPr>
              <w:t>依</w:t>
            </w:r>
            <w:r>
              <w:rPr>
                <w:rFonts w:hint="default" w:ascii="Times New Roman" w:hAnsi="Times New Roman" w:eastAsia="仿宋_GB2312" w:cs="Times New Roman"/>
                <w:b/>
                <w:color w:val="000000" w:themeColor="text1"/>
                <w:spacing w:val="-4"/>
                <w:sz w:val="24"/>
                <w:szCs w:val="24"/>
                <w:highlight w:val="none"/>
                <w14:textFill>
                  <w14:solidFill>
                    <w14:schemeClr w14:val="tx1"/>
                  </w14:solidFill>
                </w14:textFill>
              </w:rPr>
              <w:t>据</w:t>
            </w:r>
          </w:p>
        </w:tc>
        <w:tc>
          <w:tcPr>
            <w:tcW w:w="1163" w:type="dxa"/>
            <w:vAlign w:val="center"/>
          </w:tcPr>
          <w:p w14:paraId="5166680F">
            <w:pPr>
              <w:rPr>
                <w:rFonts w:hint="default" w:ascii="Times New Roman" w:hAnsi="Times New Roman" w:eastAsia="仿宋_GB2312" w:cs="Times New Roman"/>
                <w:bCs/>
                <w:color w:val="000000" w:themeColor="text1"/>
                <w:kern w:val="0"/>
                <w:sz w:val="24"/>
                <w:szCs w:val="24"/>
                <w:highlight w:val="none"/>
                <w14:textFill>
                  <w14:solidFill>
                    <w14:schemeClr w14:val="tx1"/>
                  </w14:solidFill>
                </w14:textFill>
              </w:rPr>
            </w:pPr>
          </w:p>
        </w:tc>
        <w:tc>
          <w:tcPr>
            <w:tcW w:w="2193" w:type="dxa"/>
            <w:vAlign w:val="center"/>
          </w:tcPr>
          <w:p w14:paraId="1E61506D">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500" w:type="dxa"/>
            <w:vAlign w:val="center"/>
          </w:tcPr>
          <w:p w14:paraId="57EF9594">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00" w:type="dxa"/>
          </w:tcPr>
          <w:p w14:paraId="2737725D">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369" w:type="dxa"/>
          </w:tcPr>
          <w:p w14:paraId="7D52E554">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56" w:type="dxa"/>
            <w:vAlign w:val="center"/>
          </w:tcPr>
          <w:p w14:paraId="46C5BD2F">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668" w:type="dxa"/>
            <w:vAlign w:val="center"/>
          </w:tcPr>
          <w:p w14:paraId="5F84D86F">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r>
      <w:tr w14:paraId="7C99C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1" w:type="dxa"/>
            <w:vAlign w:val="center"/>
          </w:tcPr>
          <w:p w14:paraId="471484BF">
            <w:pPr>
              <w:jc w:val="cente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t>3-2</w:t>
            </w:r>
          </w:p>
        </w:tc>
        <w:tc>
          <w:tcPr>
            <w:tcW w:w="4625" w:type="dxa"/>
            <w:vAlign w:val="center"/>
          </w:tcPr>
          <w:p w14:paraId="2413474F">
            <w:pPr>
              <w:autoSpaceDE w:val="0"/>
              <w:autoSpaceDN w:val="0"/>
              <w:adjustRightInd w:val="0"/>
              <w:rPr>
                <w:rFonts w:hint="default" w:ascii="Times New Roman" w:hAnsi="Times New Roman" w:eastAsia="仿宋_GB2312" w:cs="Times New Roman"/>
                <w:b/>
                <w:bCs/>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b/>
                <w:color w:val="000000" w:themeColor="text1"/>
                <w:spacing w:val="-3"/>
                <w:sz w:val="24"/>
                <w:szCs w:val="24"/>
                <w:highlight w:val="none"/>
                <w14:textFill>
                  <w14:solidFill>
                    <w14:schemeClr w14:val="tx1"/>
                  </w14:solidFill>
                </w14:textFill>
              </w:rPr>
              <w:t>以</w:t>
            </w:r>
            <w:r>
              <w:rPr>
                <w:rFonts w:hint="default" w:ascii="Times New Roman" w:hAnsi="Times New Roman" w:eastAsia="仿宋_GB2312" w:cs="Times New Roman"/>
                <w:b/>
                <w:color w:val="000000" w:themeColor="text1"/>
                <w:spacing w:val="-2"/>
                <w:sz w:val="24"/>
                <w:szCs w:val="24"/>
                <w:highlight w:val="none"/>
                <w14:textFill>
                  <w14:solidFill>
                    <w14:schemeClr w14:val="tx1"/>
                  </w14:solidFill>
                </w14:textFill>
              </w:rPr>
              <w:t>收益法</w:t>
            </w:r>
            <w:r>
              <w:rPr>
                <w:rFonts w:hint="default" w:ascii="Times New Roman" w:hAnsi="Times New Roman" w:eastAsia="仿宋_GB2312" w:cs="Times New Roman"/>
                <w:b/>
                <w:color w:val="000000" w:themeColor="text1"/>
                <w:spacing w:val="-4"/>
                <w:sz w:val="24"/>
                <w:szCs w:val="24"/>
                <w:highlight w:val="none"/>
                <w14:textFill>
                  <w14:solidFill>
                    <w14:schemeClr w14:val="tx1"/>
                  </w14:solidFill>
                </w14:textFill>
              </w:rPr>
              <w:t>评估</w:t>
            </w:r>
            <w:r>
              <w:rPr>
                <w:rFonts w:hint="default" w:ascii="Times New Roman" w:hAnsi="Times New Roman" w:eastAsia="仿宋_GB2312" w:cs="Times New Roman"/>
                <w:b/>
                <w:color w:val="000000" w:themeColor="text1"/>
                <w:spacing w:val="-3"/>
                <w:sz w:val="24"/>
                <w:szCs w:val="24"/>
                <w:highlight w:val="none"/>
                <w14:textFill>
                  <w14:solidFill>
                    <w14:schemeClr w14:val="tx1"/>
                  </w14:solidFill>
                </w14:textFill>
              </w:rPr>
              <w:t>结</w:t>
            </w:r>
            <w:r>
              <w:rPr>
                <w:rFonts w:hint="default" w:ascii="Times New Roman" w:hAnsi="Times New Roman" w:eastAsia="仿宋_GB2312" w:cs="Times New Roman"/>
                <w:b/>
                <w:color w:val="000000" w:themeColor="text1"/>
                <w:spacing w:val="-2"/>
                <w:sz w:val="24"/>
                <w:szCs w:val="24"/>
                <w:highlight w:val="none"/>
                <w14:textFill>
                  <w14:solidFill>
                    <w14:schemeClr w14:val="tx1"/>
                  </w14:solidFill>
                </w14:textFill>
              </w:rPr>
              <w:t>果作为</w:t>
            </w:r>
            <w:r>
              <w:rPr>
                <w:rFonts w:hint="default" w:ascii="Times New Roman" w:hAnsi="Times New Roman" w:eastAsia="仿宋_GB2312" w:cs="Times New Roman"/>
                <w:b/>
                <w:color w:val="000000" w:themeColor="text1"/>
                <w:spacing w:val="-4"/>
                <w:sz w:val="24"/>
                <w:szCs w:val="24"/>
                <w:highlight w:val="none"/>
                <w14:textFill>
                  <w14:solidFill>
                    <w14:schemeClr w14:val="tx1"/>
                  </w14:solidFill>
                </w14:textFill>
              </w:rPr>
              <w:t>定</w:t>
            </w:r>
            <w:r>
              <w:rPr>
                <w:rFonts w:hint="default" w:ascii="Times New Roman" w:hAnsi="Times New Roman" w:eastAsia="仿宋_GB2312" w:cs="Times New Roman"/>
                <w:b/>
                <w:color w:val="000000" w:themeColor="text1"/>
                <w:spacing w:val="-3"/>
                <w:sz w:val="24"/>
                <w:szCs w:val="24"/>
                <w:highlight w:val="none"/>
                <w14:textFill>
                  <w14:solidFill>
                    <w14:schemeClr w14:val="tx1"/>
                  </w14:solidFill>
                </w14:textFill>
              </w:rPr>
              <w:t>价依据</w:t>
            </w:r>
          </w:p>
        </w:tc>
        <w:tc>
          <w:tcPr>
            <w:tcW w:w="1163" w:type="dxa"/>
            <w:vAlign w:val="center"/>
          </w:tcPr>
          <w:p w14:paraId="2D26254C">
            <w:pPr>
              <w:rPr>
                <w:rFonts w:hint="default" w:ascii="Times New Roman" w:hAnsi="Times New Roman" w:eastAsia="仿宋_GB2312" w:cs="Times New Roman"/>
                <w:bCs/>
                <w:color w:val="000000" w:themeColor="text1"/>
                <w:kern w:val="0"/>
                <w:sz w:val="24"/>
                <w:szCs w:val="24"/>
                <w:highlight w:val="none"/>
                <w14:textFill>
                  <w14:solidFill>
                    <w14:schemeClr w14:val="tx1"/>
                  </w14:solidFill>
                </w14:textFill>
              </w:rPr>
            </w:pPr>
          </w:p>
        </w:tc>
        <w:tc>
          <w:tcPr>
            <w:tcW w:w="2193" w:type="dxa"/>
            <w:vAlign w:val="center"/>
          </w:tcPr>
          <w:p w14:paraId="6EF9DBAA">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500" w:type="dxa"/>
            <w:vAlign w:val="center"/>
          </w:tcPr>
          <w:p w14:paraId="4418B953">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00" w:type="dxa"/>
          </w:tcPr>
          <w:p w14:paraId="6FCCF71D">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369" w:type="dxa"/>
          </w:tcPr>
          <w:p w14:paraId="2592C0AF">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56" w:type="dxa"/>
            <w:vAlign w:val="center"/>
          </w:tcPr>
          <w:p w14:paraId="25FDDB26">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668" w:type="dxa"/>
            <w:vAlign w:val="center"/>
          </w:tcPr>
          <w:p w14:paraId="51EAB662">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r>
      <w:tr w14:paraId="08036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1" w:type="dxa"/>
            <w:vAlign w:val="center"/>
          </w:tcPr>
          <w:p w14:paraId="7C71CD0C">
            <w:pPr>
              <w:jc w:val="cente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t>3-3</w:t>
            </w:r>
          </w:p>
        </w:tc>
        <w:tc>
          <w:tcPr>
            <w:tcW w:w="4625" w:type="dxa"/>
            <w:vAlign w:val="center"/>
          </w:tcPr>
          <w:p w14:paraId="2DE6B128">
            <w:pPr>
              <w:autoSpaceDE w:val="0"/>
              <w:autoSpaceDN w:val="0"/>
              <w:adjustRightInd w:val="0"/>
              <w:rPr>
                <w:rFonts w:hint="default" w:ascii="Times New Roman" w:hAnsi="Times New Roman" w:eastAsia="仿宋_GB2312" w:cs="Times New Roman"/>
                <w:b/>
                <w:bCs/>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b/>
                <w:color w:val="000000" w:themeColor="text1"/>
                <w:spacing w:val="-6"/>
                <w:sz w:val="24"/>
                <w:szCs w:val="24"/>
                <w:highlight w:val="none"/>
                <w14:textFill>
                  <w14:solidFill>
                    <w14:schemeClr w14:val="tx1"/>
                  </w14:solidFill>
                </w14:textFill>
              </w:rPr>
              <w:t>以</w:t>
            </w:r>
            <w:r>
              <w:rPr>
                <w:rFonts w:hint="default" w:ascii="Times New Roman" w:hAnsi="Times New Roman" w:eastAsia="仿宋_GB2312" w:cs="Times New Roman"/>
                <w:b/>
                <w:color w:val="000000" w:themeColor="text1"/>
                <w:spacing w:val="-3"/>
                <w:sz w:val="24"/>
                <w:szCs w:val="24"/>
                <w:highlight w:val="none"/>
                <w14:textFill>
                  <w14:solidFill>
                    <w14:schemeClr w14:val="tx1"/>
                  </w14:solidFill>
                </w14:textFill>
              </w:rPr>
              <w:t>市场法评估</w:t>
            </w:r>
            <w:r>
              <w:rPr>
                <w:rFonts w:hint="default" w:ascii="Times New Roman" w:hAnsi="Times New Roman" w:eastAsia="仿宋_GB2312" w:cs="Times New Roman"/>
                <w:b/>
                <w:color w:val="000000" w:themeColor="text1"/>
                <w:spacing w:val="-6"/>
                <w:sz w:val="24"/>
                <w:szCs w:val="24"/>
                <w:highlight w:val="none"/>
                <w14:textFill>
                  <w14:solidFill>
                    <w14:schemeClr w14:val="tx1"/>
                  </w14:solidFill>
                </w14:textFill>
              </w:rPr>
              <w:t>结</w:t>
            </w:r>
            <w:r>
              <w:rPr>
                <w:rFonts w:hint="default" w:ascii="Times New Roman" w:hAnsi="Times New Roman" w:eastAsia="仿宋_GB2312" w:cs="Times New Roman"/>
                <w:b/>
                <w:color w:val="000000" w:themeColor="text1"/>
                <w:spacing w:val="-3"/>
                <w:sz w:val="24"/>
                <w:szCs w:val="24"/>
                <w:highlight w:val="none"/>
                <w14:textFill>
                  <w14:solidFill>
                    <w14:schemeClr w14:val="tx1"/>
                  </w14:solidFill>
                </w14:textFill>
              </w:rPr>
              <w:t>果作为定价</w:t>
            </w:r>
            <w:r>
              <w:rPr>
                <w:rFonts w:hint="default" w:ascii="Times New Roman" w:hAnsi="Times New Roman" w:eastAsia="仿宋_GB2312" w:cs="Times New Roman"/>
                <w:b/>
                <w:color w:val="000000" w:themeColor="text1"/>
                <w:spacing w:val="-5"/>
                <w:sz w:val="24"/>
                <w:szCs w:val="24"/>
                <w:highlight w:val="none"/>
                <w14:textFill>
                  <w14:solidFill>
                    <w14:schemeClr w14:val="tx1"/>
                  </w14:solidFill>
                </w14:textFill>
              </w:rPr>
              <w:t>依</w:t>
            </w:r>
            <w:r>
              <w:rPr>
                <w:rFonts w:hint="default" w:ascii="Times New Roman" w:hAnsi="Times New Roman" w:eastAsia="仿宋_GB2312" w:cs="Times New Roman"/>
                <w:b/>
                <w:color w:val="000000" w:themeColor="text1"/>
                <w:spacing w:val="-4"/>
                <w:sz w:val="24"/>
                <w:szCs w:val="24"/>
                <w:highlight w:val="none"/>
                <w14:textFill>
                  <w14:solidFill>
                    <w14:schemeClr w14:val="tx1"/>
                  </w14:solidFill>
                </w14:textFill>
              </w:rPr>
              <w:t>据</w:t>
            </w:r>
          </w:p>
        </w:tc>
        <w:tc>
          <w:tcPr>
            <w:tcW w:w="1163" w:type="dxa"/>
            <w:vAlign w:val="center"/>
          </w:tcPr>
          <w:p w14:paraId="1CE65CE8">
            <w:pPr>
              <w:rPr>
                <w:rFonts w:hint="default" w:ascii="Times New Roman" w:hAnsi="Times New Roman" w:eastAsia="仿宋_GB2312" w:cs="Times New Roman"/>
                <w:bCs/>
                <w:color w:val="000000" w:themeColor="text1"/>
                <w:kern w:val="0"/>
                <w:sz w:val="24"/>
                <w:szCs w:val="24"/>
                <w:highlight w:val="none"/>
                <w14:textFill>
                  <w14:solidFill>
                    <w14:schemeClr w14:val="tx1"/>
                  </w14:solidFill>
                </w14:textFill>
              </w:rPr>
            </w:pPr>
          </w:p>
        </w:tc>
        <w:tc>
          <w:tcPr>
            <w:tcW w:w="2193" w:type="dxa"/>
            <w:vAlign w:val="center"/>
          </w:tcPr>
          <w:p w14:paraId="295D0086">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500" w:type="dxa"/>
            <w:vAlign w:val="center"/>
          </w:tcPr>
          <w:p w14:paraId="4C6F5190">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00" w:type="dxa"/>
          </w:tcPr>
          <w:p w14:paraId="0D256F0F">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369" w:type="dxa"/>
          </w:tcPr>
          <w:p w14:paraId="3C7FE179">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56" w:type="dxa"/>
            <w:vAlign w:val="center"/>
          </w:tcPr>
          <w:p w14:paraId="50286839">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668" w:type="dxa"/>
            <w:vAlign w:val="center"/>
          </w:tcPr>
          <w:p w14:paraId="1F51F71F">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r>
      <w:tr w14:paraId="29A90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1" w:type="dxa"/>
            <w:vAlign w:val="center"/>
          </w:tcPr>
          <w:p w14:paraId="0F4DA3B9">
            <w:pPr>
              <w:jc w:val="cente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t>3-4</w:t>
            </w:r>
          </w:p>
        </w:tc>
        <w:tc>
          <w:tcPr>
            <w:tcW w:w="4625" w:type="dxa"/>
            <w:vAlign w:val="center"/>
          </w:tcPr>
          <w:p w14:paraId="6341FE25">
            <w:pP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b/>
                <w:color w:val="000000" w:themeColor="text1"/>
                <w:spacing w:val="-4"/>
                <w:sz w:val="24"/>
                <w:szCs w:val="24"/>
                <w:highlight w:val="none"/>
                <w14:textFill>
                  <w14:solidFill>
                    <w14:schemeClr w14:val="tx1"/>
                  </w14:solidFill>
                </w14:textFill>
              </w:rPr>
              <w:t>以资</w:t>
            </w:r>
            <w:r>
              <w:rPr>
                <w:rFonts w:hint="default" w:ascii="Times New Roman" w:hAnsi="Times New Roman" w:eastAsia="仿宋_GB2312" w:cs="Times New Roman"/>
                <w:b/>
                <w:color w:val="000000" w:themeColor="text1"/>
                <w:spacing w:val="-3"/>
                <w:sz w:val="24"/>
                <w:szCs w:val="24"/>
                <w:highlight w:val="none"/>
                <w14:textFill>
                  <w14:solidFill>
                    <w14:schemeClr w14:val="tx1"/>
                  </w14:solidFill>
                </w14:textFill>
              </w:rPr>
              <w:t>产</w:t>
            </w:r>
            <w:r>
              <w:rPr>
                <w:rFonts w:hint="default" w:ascii="Times New Roman" w:hAnsi="Times New Roman" w:eastAsia="仿宋_GB2312" w:cs="Times New Roman"/>
                <w:b/>
                <w:color w:val="000000" w:themeColor="text1"/>
                <w:spacing w:val="-2"/>
                <w:sz w:val="24"/>
                <w:szCs w:val="24"/>
                <w:highlight w:val="none"/>
                <w14:textFill>
                  <w14:solidFill>
                    <w14:schemeClr w14:val="tx1"/>
                  </w14:solidFill>
                </w14:textFill>
              </w:rPr>
              <w:t>基础法</w:t>
            </w:r>
            <w:r>
              <w:rPr>
                <w:rFonts w:hint="default" w:ascii="Times New Roman" w:hAnsi="Times New Roman" w:eastAsia="仿宋_GB2312" w:cs="Times New Roman"/>
                <w:b/>
                <w:color w:val="000000" w:themeColor="text1"/>
                <w:spacing w:val="-4"/>
                <w:sz w:val="24"/>
                <w:szCs w:val="24"/>
                <w:highlight w:val="none"/>
                <w14:textFill>
                  <w14:solidFill>
                    <w14:schemeClr w14:val="tx1"/>
                  </w14:solidFill>
                </w14:textFill>
              </w:rPr>
              <w:t>评估</w:t>
            </w:r>
            <w:r>
              <w:rPr>
                <w:rFonts w:hint="default" w:ascii="Times New Roman" w:hAnsi="Times New Roman" w:eastAsia="仿宋_GB2312" w:cs="Times New Roman"/>
                <w:b/>
                <w:color w:val="000000" w:themeColor="text1"/>
                <w:spacing w:val="-3"/>
                <w:sz w:val="24"/>
                <w:szCs w:val="24"/>
                <w:highlight w:val="none"/>
                <w14:textFill>
                  <w14:solidFill>
                    <w14:schemeClr w14:val="tx1"/>
                  </w14:solidFill>
                </w14:textFill>
              </w:rPr>
              <w:t>结</w:t>
            </w:r>
            <w:r>
              <w:rPr>
                <w:rFonts w:hint="default" w:ascii="Times New Roman" w:hAnsi="Times New Roman" w:eastAsia="仿宋_GB2312" w:cs="Times New Roman"/>
                <w:b/>
                <w:color w:val="000000" w:themeColor="text1"/>
                <w:spacing w:val="-2"/>
                <w:sz w:val="24"/>
                <w:szCs w:val="24"/>
                <w:highlight w:val="none"/>
                <w14:textFill>
                  <w14:solidFill>
                    <w14:schemeClr w14:val="tx1"/>
                  </w14:solidFill>
                </w14:textFill>
              </w:rPr>
              <w:t>果作为</w:t>
            </w:r>
            <w:r>
              <w:rPr>
                <w:rFonts w:hint="default" w:ascii="Times New Roman" w:hAnsi="Times New Roman" w:eastAsia="仿宋_GB2312" w:cs="Times New Roman"/>
                <w:b/>
                <w:color w:val="000000" w:themeColor="text1"/>
                <w:spacing w:val="-4"/>
                <w:sz w:val="24"/>
                <w:szCs w:val="24"/>
                <w:highlight w:val="none"/>
                <w14:textFill>
                  <w14:solidFill>
                    <w14:schemeClr w14:val="tx1"/>
                  </w14:solidFill>
                </w14:textFill>
              </w:rPr>
              <w:t>定</w:t>
            </w:r>
            <w:r>
              <w:rPr>
                <w:rFonts w:hint="default" w:ascii="Times New Roman" w:hAnsi="Times New Roman" w:eastAsia="仿宋_GB2312" w:cs="Times New Roman"/>
                <w:b/>
                <w:color w:val="000000" w:themeColor="text1"/>
                <w:spacing w:val="-3"/>
                <w:sz w:val="24"/>
                <w:szCs w:val="24"/>
                <w:highlight w:val="none"/>
                <w14:textFill>
                  <w14:solidFill>
                    <w14:schemeClr w14:val="tx1"/>
                  </w14:solidFill>
                </w14:textFill>
              </w:rPr>
              <w:t>价依据</w:t>
            </w:r>
          </w:p>
        </w:tc>
        <w:tc>
          <w:tcPr>
            <w:tcW w:w="1163" w:type="dxa"/>
            <w:vAlign w:val="center"/>
          </w:tcPr>
          <w:p w14:paraId="45FC0BBB">
            <w:pPr>
              <w:rPr>
                <w:rFonts w:hint="default" w:ascii="Times New Roman" w:hAnsi="Times New Roman" w:eastAsia="仿宋_GB2312" w:cs="Times New Roman"/>
                <w:bCs/>
                <w:color w:val="000000" w:themeColor="text1"/>
                <w:kern w:val="0"/>
                <w:sz w:val="24"/>
                <w:szCs w:val="24"/>
                <w:highlight w:val="none"/>
                <w14:textFill>
                  <w14:solidFill>
                    <w14:schemeClr w14:val="tx1"/>
                  </w14:solidFill>
                </w14:textFill>
              </w:rPr>
            </w:pPr>
          </w:p>
        </w:tc>
        <w:tc>
          <w:tcPr>
            <w:tcW w:w="2193" w:type="dxa"/>
            <w:vAlign w:val="center"/>
          </w:tcPr>
          <w:p w14:paraId="678E0B52">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500" w:type="dxa"/>
            <w:vAlign w:val="center"/>
          </w:tcPr>
          <w:p w14:paraId="4C85208F">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00" w:type="dxa"/>
          </w:tcPr>
          <w:p w14:paraId="51EC1DF5">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369" w:type="dxa"/>
          </w:tcPr>
          <w:p w14:paraId="57701F7E">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56" w:type="dxa"/>
            <w:vAlign w:val="center"/>
          </w:tcPr>
          <w:p w14:paraId="056C2E45">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668" w:type="dxa"/>
            <w:vAlign w:val="center"/>
          </w:tcPr>
          <w:p w14:paraId="591A47ED">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r>
      <w:tr w14:paraId="54CDC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1" w:type="dxa"/>
            <w:vAlign w:val="center"/>
          </w:tcPr>
          <w:p w14:paraId="5335C527">
            <w:pPr>
              <w:jc w:val="cente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t>3-5</w:t>
            </w:r>
          </w:p>
        </w:tc>
        <w:tc>
          <w:tcPr>
            <w:tcW w:w="4625" w:type="dxa"/>
            <w:vAlign w:val="center"/>
          </w:tcPr>
          <w:p w14:paraId="5FBA15F7">
            <w:pPr>
              <w:rPr>
                <w:rFonts w:hint="default" w:ascii="Times New Roman" w:hAnsi="Times New Roman" w:eastAsia="仿宋_GB2312" w:cs="Times New Roman"/>
                <w:b/>
                <w:color w:val="000000" w:themeColor="text1"/>
                <w:spacing w:val="-4"/>
                <w:sz w:val="24"/>
                <w:szCs w:val="24"/>
                <w:highlight w:val="none"/>
                <w14:textFill>
                  <w14:solidFill>
                    <w14:schemeClr w14:val="tx1"/>
                  </w14:solidFill>
                </w14:textFill>
              </w:rPr>
            </w:pPr>
            <w:r>
              <w:rPr>
                <w:rFonts w:hint="default" w:ascii="Times New Roman" w:hAnsi="Times New Roman" w:eastAsia="仿宋_GB2312" w:cs="Times New Roman"/>
                <w:b/>
                <w:color w:val="000000" w:themeColor="text1"/>
                <w:spacing w:val="-4"/>
                <w:sz w:val="24"/>
                <w:szCs w:val="24"/>
                <w:highlight w:val="none"/>
                <w14:textFill>
                  <w14:solidFill>
                    <w14:schemeClr w14:val="tx1"/>
                  </w14:solidFill>
                </w14:textFill>
              </w:rPr>
              <w:t>以其他方法评估</w:t>
            </w:r>
            <w:r>
              <w:rPr>
                <w:rFonts w:hint="default" w:ascii="Times New Roman" w:hAnsi="Times New Roman" w:eastAsia="仿宋_GB2312" w:cs="Times New Roman"/>
                <w:b/>
                <w:color w:val="000000" w:themeColor="text1"/>
                <w:spacing w:val="-3"/>
                <w:sz w:val="24"/>
                <w:szCs w:val="24"/>
                <w:highlight w:val="none"/>
                <w14:textFill>
                  <w14:solidFill>
                    <w14:schemeClr w14:val="tx1"/>
                  </w14:solidFill>
                </w14:textFill>
              </w:rPr>
              <w:t>结</w:t>
            </w:r>
            <w:r>
              <w:rPr>
                <w:rFonts w:hint="default" w:ascii="Times New Roman" w:hAnsi="Times New Roman" w:eastAsia="仿宋_GB2312" w:cs="Times New Roman"/>
                <w:b/>
                <w:color w:val="000000" w:themeColor="text1"/>
                <w:spacing w:val="-2"/>
                <w:sz w:val="24"/>
                <w:szCs w:val="24"/>
                <w:highlight w:val="none"/>
                <w14:textFill>
                  <w14:solidFill>
                    <w14:schemeClr w14:val="tx1"/>
                  </w14:solidFill>
                </w14:textFill>
              </w:rPr>
              <w:t>果或</w:t>
            </w:r>
            <w:r>
              <w:rPr>
                <w:rFonts w:hint="default" w:ascii="Times New Roman" w:hAnsi="Times New Roman" w:eastAsia="仿宋_GB2312" w:cs="Times New Roman"/>
                <w:b/>
                <w:color w:val="000000" w:themeColor="text1"/>
                <w:spacing w:val="-2"/>
                <w:sz w:val="24"/>
                <w:szCs w:val="24"/>
                <w:highlight w:val="none"/>
                <w:lang w:eastAsia="zh-CN"/>
                <w14:textFill>
                  <w14:solidFill>
                    <w14:schemeClr w14:val="tx1"/>
                  </w14:solidFill>
                </w14:textFill>
              </w:rPr>
              <w:t>者</w:t>
            </w:r>
            <w:r>
              <w:rPr>
                <w:rFonts w:hint="default" w:ascii="Times New Roman" w:hAnsi="Times New Roman" w:eastAsia="仿宋_GB2312" w:cs="Times New Roman"/>
                <w:b/>
                <w:color w:val="000000" w:themeColor="text1"/>
                <w:spacing w:val="-2"/>
                <w:sz w:val="24"/>
                <w:szCs w:val="24"/>
                <w:highlight w:val="none"/>
                <w14:textFill>
                  <w14:solidFill>
                    <w14:schemeClr w14:val="tx1"/>
                  </w14:solidFill>
                </w14:textFill>
              </w:rPr>
              <w:t>估值报告结果作为</w:t>
            </w:r>
            <w:r>
              <w:rPr>
                <w:rFonts w:hint="default" w:ascii="Times New Roman" w:hAnsi="Times New Roman" w:eastAsia="仿宋_GB2312" w:cs="Times New Roman"/>
                <w:b/>
                <w:color w:val="000000" w:themeColor="text1"/>
                <w:spacing w:val="-4"/>
                <w:sz w:val="24"/>
                <w:szCs w:val="24"/>
                <w:highlight w:val="none"/>
                <w14:textFill>
                  <w14:solidFill>
                    <w14:schemeClr w14:val="tx1"/>
                  </w14:solidFill>
                </w14:textFill>
              </w:rPr>
              <w:t>定</w:t>
            </w:r>
            <w:r>
              <w:rPr>
                <w:rFonts w:hint="default" w:ascii="Times New Roman" w:hAnsi="Times New Roman" w:eastAsia="仿宋_GB2312" w:cs="Times New Roman"/>
                <w:b/>
                <w:color w:val="000000" w:themeColor="text1"/>
                <w:spacing w:val="-3"/>
                <w:sz w:val="24"/>
                <w:szCs w:val="24"/>
                <w:highlight w:val="none"/>
                <w14:textFill>
                  <w14:solidFill>
                    <w14:schemeClr w14:val="tx1"/>
                  </w14:solidFill>
                </w14:textFill>
              </w:rPr>
              <w:t>价依据</w:t>
            </w:r>
          </w:p>
        </w:tc>
        <w:tc>
          <w:tcPr>
            <w:tcW w:w="1163" w:type="dxa"/>
            <w:vAlign w:val="center"/>
          </w:tcPr>
          <w:p w14:paraId="3109C7A2">
            <w:pPr>
              <w:rPr>
                <w:rFonts w:hint="default" w:ascii="Times New Roman" w:hAnsi="Times New Roman" w:eastAsia="仿宋_GB2312" w:cs="Times New Roman"/>
                <w:bCs/>
                <w:color w:val="000000" w:themeColor="text1"/>
                <w:kern w:val="0"/>
                <w:sz w:val="24"/>
                <w:szCs w:val="24"/>
                <w:highlight w:val="none"/>
                <w14:textFill>
                  <w14:solidFill>
                    <w14:schemeClr w14:val="tx1"/>
                  </w14:solidFill>
                </w14:textFill>
              </w:rPr>
            </w:pPr>
          </w:p>
        </w:tc>
        <w:tc>
          <w:tcPr>
            <w:tcW w:w="2193" w:type="dxa"/>
            <w:vAlign w:val="center"/>
          </w:tcPr>
          <w:p w14:paraId="2B12BFFF">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500" w:type="dxa"/>
            <w:vAlign w:val="center"/>
          </w:tcPr>
          <w:p w14:paraId="36342841">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00" w:type="dxa"/>
          </w:tcPr>
          <w:p w14:paraId="22A85C23">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369" w:type="dxa"/>
          </w:tcPr>
          <w:p w14:paraId="1A81C105">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56" w:type="dxa"/>
            <w:vAlign w:val="center"/>
          </w:tcPr>
          <w:p w14:paraId="71B015A9">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668" w:type="dxa"/>
            <w:vAlign w:val="center"/>
          </w:tcPr>
          <w:p w14:paraId="7E3CF8A8">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r>
      <w:tr w14:paraId="01716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1" w:type="dxa"/>
            <w:vAlign w:val="center"/>
          </w:tcPr>
          <w:p w14:paraId="02120DA1">
            <w:pPr>
              <w:jc w:val="cente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t>3-6</w:t>
            </w:r>
          </w:p>
        </w:tc>
        <w:tc>
          <w:tcPr>
            <w:tcW w:w="4625" w:type="dxa"/>
            <w:vAlign w:val="center"/>
          </w:tcPr>
          <w:p w14:paraId="0B2E86C6">
            <w:pP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b/>
                <w:color w:val="000000" w:themeColor="text1"/>
                <w:spacing w:val="-4"/>
                <w:sz w:val="24"/>
                <w:szCs w:val="24"/>
                <w:highlight w:val="none"/>
                <w14:textFill>
                  <w14:solidFill>
                    <w14:schemeClr w14:val="tx1"/>
                  </w14:solidFill>
                </w14:textFill>
              </w:rPr>
              <w:t>交易作价</w:t>
            </w:r>
            <w:r>
              <w:rPr>
                <w:rFonts w:hint="default" w:ascii="Times New Roman" w:hAnsi="Times New Roman" w:eastAsia="仿宋_GB2312" w:cs="Times New Roman"/>
                <w:b/>
                <w:color w:val="000000" w:themeColor="text1"/>
                <w:spacing w:val="-8"/>
                <w:sz w:val="24"/>
                <w:szCs w:val="24"/>
                <w:highlight w:val="none"/>
                <w14:textFill>
                  <w14:solidFill>
                    <w14:schemeClr w14:val="tx1"/>
                  </w14:solidFill>
                </w14:textFill>
              </w:rPr>
              <w:t>的</w:t>
            </w:r>
            <w:r>
              <w:rPr>
                <w:rFonts w:hint="default" w:ascii="Times New Roman" w:hAnsi="Times New Roman" w:eastAsia="仿宋_GB2312" w:cs="Times New Roman"/>
                <w:b/>
                <w:color w:val="000000" w:themeColor="text1"/>
                <w:spacing w:val="-5"/>
                <w:sz w:val="24"/>
                <w:szCs w:val="24"/>
                <w:highlight w:val="none"/>
                <w14:textFill>
                  <w14:solidFill>
                    <w14:schemeClr w14:val="tx1"/>
                  </w14:solidFill>
                </w14:textFill>
              </w:rPr>
              <w:t>公允性及合理性</w:t>
            </w:r>
          </w:p>
        </w:tc>
        <w:tc>
          <w:tcPr>
            <w:tcW w:w="1163" w:type="dxa"/>
            <w:vAlign w:val="center"/>
          </w:tcPr>
          <w:p w14:paraId="75752B2F">
            <w:pPr>
              <w:rPr>
                <w:rFonts w:hint="default" w:ascii="Times New Roman" w:hAnsi="Times New Roman" w:eastAsia="仿宋_GB2312" w:cs="Times New Roman"/>
                <w:bCs/>
                <w:color w:val="000000" w:themeColor="text1"/>
                <w:kern w:val="0"/>
                <w:sz w:val="24"/>
                <w:szCs w:val="24"/>
                <w:highlight w:val="none"/>
                <w14:textFill>
                  <w14:solidFill>
                    <w14:schemeClr w14:val="tx1"/>
                  </w14:solidFill>
                </w14:textFill>
              </w:rPr>
            </w:pPr>
          </w:p>
        </w:tc>
        <w:tc>
          <w:tcPr>
            <w:tcW w:w="2193" w:type="dxa"/>
            <w:vAlign w:val="center"/>
          </w:tcPr>
          <w:p w14:paraId="2979F77B">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500" w:type="dxa"/>
            <w:vAlign w:val="center"/>
          </w:tcPr>
          <w:p w14:paraId="5634BAF1">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00" w:type="dxa"/>
          </w:tcPr>
          <w:p w14:paraId="0B567653">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369" w:type="dxa"/>
          </w:tcPr>
          <w:p w14:paraId="1EA32728">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56" w:type="dxa"/>
            <w:vAlign w:val="center"/>
          </w:tcPr>
          <w:p w14:paraId="5447C0EA">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668" w:type="dxa"/>
            <w:vAlign w:val="center"/>
          </w:tcPr>
          <w:p w14:paraId="1F227D22">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r>
      <w:tr w14:paraId="4A294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1" w:type="dxa"/>
            <w:vAlign w:val="center"/>
          </w:tcPr>
          <w:p w14:paraId="73C8503A">
            <w:pPr>
              <w:jc w:val="cente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t>3-7</w:t>
            </w:r>
          </w:p>
        </w:tc>
        <w:tc>
          <w:tcPr>
            <w:tcW w:w="4625" w:type="dxa"/>
            <w:vAlign w:val="center"/>
          </w:tcPr>
          <w:p w14:paraId="31828938">
            <w:pP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b/>
                <w:color w:val="000000" w:themeColor="text1"/>
                <w:sz w:val="24"/>
                <w:szCs w:val="24"/>
                <w:highlight w:val="none"/>
                <w14:textFill>
                  <w14:solidFill>
                    <w14:schemeClr w14:val="tx1"/>
                  </w14:solidFill>
                </w14:textFill>
              </w:rPr>
              <w:t>商誉会计处理及减值风险</w:t>
            </w:r>
          </w:p>
        </w:tc>
        <w:tc>
          <w:tcPr>
            <w:tcW w:w="1163" w:type="dxa"/>
            <w:vAlign w:val="center"/>
          </w:tcPr>
          <w:p w14:paraId="3D4C7AB5">
            <w:pPr>
              <w:rPr>
                <w:rFonts w:hint="default" w:ascii="Times New Roman" w:hAnsi="Times New Roman" w:eastAsia="仿宋_GB2312" w:cs="Times New Roman"/>
                <w:bCs/>
                <w:color w:val="000000" w:themeColor="text1"/>
                <w:kern w:val="0"/>
                <w:sz w:val="24"/>
                <w:szCs w:val="24"/>
                <w:highlight w:val="none"/>
                <w14:textFill>
                  <w14:solidFill>
                    <w14:schemeClr w14:val="tx1"/>
                  </w14:solidFill>
                </w14:textFill>
              </w:rPr>
            </w:pPr>
          </w:p>
        </w:tc>
        <w:tc>
          <w:tcPr>
            <w:tcW w:w="2193" w:type="dxa"/>
            <w:vAlign w:val="center"/>
          </w:tcPr>
          <w:p w14:paraId="7DFDF3C3">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500" w:type="dxa"/>
            <w:vAlign w:val="center"/>
          </w:tcPr>
          <w:p w14:paraId="51D02511">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00" w:type="dxa"/>
          </w:tcPr>
          <w:p w14:paraId="5C2880A5">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369" w:type="dxa"/>
          </w:tcPr>
          <w:p w14:paraId="59C43D33">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56" w:type="dxa"/>
            <w:vAlign w:val="center"/>
          </w:tcPr>
          <w:p w14:paraId="0A23EEBF">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668" w:type="dxa"/>
            <w:vAlign w:val="center"/>
          </w:tcPr>
          <w:p w14:paraId="41009255">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r>
      <w:tr w14:paraId="2FD95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25" w:type="dxa"/>
            <w:gridSpan w:val="9"/>
            <w:vAlign w:val="center"/>
          </w:tcPr>
          <w:p w14:paraId="359D5F4A">
            <w:pPr>
              <w:jc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b/>
                <w:bCs/>
                <w:color w:val="000000" w:themeColor="text1"/>
                <w:kern w:val="0"/>
                <w:sz w:val="24"/>
                <w:szCs w:val="24"/>
                <w:highlight w:val="none"/>
                <w14:textFill>
                  <w14:solidFill>
                    <w14:schemeClr w14:val="tx1"/>
                  </w14:solidFill>
                </w14:textFill>
              </w:rPr>
              <w:t>四、关于拟购买</w:t>
            </w:r>
            <w: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t>资产财务状况及经营成果</w:t>
            </w:r>
          </w:p>
        </w:tc>
      </w:tr>
      <w:tr w14:paraId="7232D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1" w:type="dxa"/>
            <w:vAlign w:val="center"/>
          </w:tcPr>
          <w:p w14:paraId="2343659A">
            <w:pPr>
              <w:jc w:val="cente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t>4-1</w:t>
            </w:r>
          </w:p>
        </w:tc>
        <w:tc>
          <w:tcPr>
            <w:tcW w:w="4625" w:type="dxa"/>
            <w:vAlign w:val="center"/>
          </w:tcPr>
          <w:p w14:paraId="39B1AD56">
            <w:pPr>
              <w:jc w:val="left"/>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t>行业特点及竞争格局</w:t>
            </w:r>
          </w:p>
        </w:tc>
        <w:tc>
          <w:tcPr>
            <w:tcW w:w="1163" w:type="dxa"/>
            <w:vAlign w:val="center"/>
          </w:tcPr>
          <w:p w14:paraId="0DCAA885">
            <w:pPr>
              <w:rPr>
                <w:rFonts w:hint="default" w:ascii="Times New Roman" w:hAnsi="Times New Roman" w:eastAsia="仿宋_GB2312" w:cs="Times New Roman"/>
                <w:bCs/>
                <w:color w:val="000000" w:themeColor="text1"/>
                <w:kern w:val="0"/>
                <w:sz w:val="24"/>
                <w:szCs w:val="24"/>
                <w:highlight w:val="none"/>
                <w14:textFill>
                  <w14:solidFill>
                    <w14:schemeClr w14:val="tx1"/>
                  </w14:solidFill>
                </w14:textFill>
              </w:rPr>
            </w:pPr>
          </w:p>
        </w:tc>
        <w:tc>
          <w:tcPr>
            <w:tcW w:w="2193" w:type="dxa"/>
            <w:vAlign w:val="center"/>
          </w:tcPr>
          <w:p w14:paraId="32325779">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500" w:type="dxa"/>
            <w:vAlign w:val="center"/>
          </w:tcPr>
          <w:p w14:paraId="74E8C29B">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00" w:type="dxa"/>
          </w:tcPr>
          <w:p w14:paraId="7CD6E29F">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369" w:type="dxa"/>
          </w:tcPr>
          <w:p w14:paraId="03CFDDAC">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56" w:type="dxa"/>
            <w:vAlign w:val="center"/>
          </w:tcPr>
          <w:p w14:paraId="08A1C1DA">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668" w:type="dxa"/>
            <w:vAlign w:val="center"/>
          </w:tcPr>
          <w:p w14:paraId="3C43E007">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r>
      <w:tr w14:paraId="5E6A4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1" w:type="dxa"/>
            <w:vAlign w:val="center"/>
          </w:tcPr>
          <w:p w14:paraId="09EFC03F">
            <w:pPr>
              <w:jc w:val="cente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t>4-2</w:t>
            </w:r>
          </w:p>
        </w:tc>
        <w:tc>
          <w:tcPr>
            <w:tcW w:w="4625" w:type="dxa"/>
            <w:vAlign w:val="center"/>
          </w:tcPr>
          <w:p w14:paraId="05D85510">
            <w:pP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b/>
                <w:bCs/>
                <w:color w:val="000000" w:themeColor="text1"/>
                <w:sz w:val="24"/>
                <w:szCs w:val="24"/>
                <w:highlight w:val="none"/>
                <w14:textFill>
                  <w14:solidFill>
                    <w14:schemeClr w14:val="tx1"/>
                  </w14:solidFill>
                </w14:textFill>
              </w:rPr>
              <w:t>主要客户和供应商</w:t>
            </w:r>
          </w:p>
        </w:tc>
        <w:tc>
          <w:tcPr>
            <w:tcW w:w="1163" w:type="dxa"/>
            <w:vAlign w:val="center"/>
          </w:tcPr>
          <w:p w14:paraId="37935D9B">
            <w:pPr>
              <w:rPr>
                <w:rFonts w:hint="default" w:ascii="Times New Roman" w:hAnsi="Times New Roman" w:eastAsia="仿宋_GB2312" w:cs="Times New Roman"/>
                <w:bCs/>
                <w:color w:val="000000" w:themeColor="text1"/>
                <w:kern w:val="0"/>
                <w:sz w:val="24"/>
                <w:szCs w:val="24"/>
                <w:highlight w:val="none"/>
                <w14:textFill>
                  <w14:solidFill>
                    <w14:schemeClr w14:val="tx1"/>
                  </w14:solidFill>
                </w14:textFill>
              </w:rPr>
            </w:pPr>
          </w:p>
        </w:tc>
        <w:tc>
          <w:tcPr>
            <w:tcW w:w="2193" w:type="dxa"/>
            <w:vAlign w:val="center"/>
          </w:tcPr>
          <w:p w14:paraId="75067744">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500" w:type="dxa"/>
            <w:vAlign w:val="center"/>
          </w:tcPr>
          <w:p w14:paraId="48BC0E8B">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00" w:type="dxa"/>
          </w:tcPr>
          <w:p w14:paraId="7CA6EF24">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369" w:type="dxa"/>
          </w:tcPr>
          <w:p w14:paraId="30BBB54C">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56" w:type="dxa"/>
            <w:vAlign w:val="center"/>
          </w:tcPr>
          <w:p w14:paraId="5CF80D87">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668" w:type="dxa"/>
            <w:vAlign w:val="center"/>
          </w:tcPr>
          <w:p w14:paraId="323040DD">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r>
      <w:tr w14:paraId="71C07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1" w:type="dxa"/>
            <w:vAlign w:val="center"/>
          </w:tcPr>
          <w:p w14:paraId="54B2CDBC">
            <w:pPr>
              <w:jc w:val="cente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t>4-3</w:t>
            </w:r>
          </w:p>
        </w:tc>
        <w:tc>
          <w:tcPr>
            <w:tcW w:w="4625" w:type="dxa"/>
            <w:vAlign w:val="center"/>
          </w:tcPr>
          <w:p w14:paraId="20C1DE42">
            <w:pP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b/>
                <w:color w:val="000000" w:themeColor="text1"/>
                <w:sz w:val="24"/>
                <w:szCs w:val="24"/>
                <w:highlight w:val="none"/>
                <w14:textFill>
                  <w14:solidFill>
                    <w14:schemeClr w14:val="tx1"/>
                  </w14:solidFill>
                </w14:textFill>
              </w:rPr>
              <w:t>财务状况</w:t>
            </w:r>
          </w:p>
        </w:tc>
        <w:tc>
          <w:tcPr>
            <w:tcW w:w="1163" w:type="dxa"/>
            <w:vAlign w:val="center"/>
          </w:tcPr>
          <w:p w14:paraId="50EFCA4A">
            <w:pPr>
              <w:rPr>
                <w:rFonts w:hint="default" w:ascii="Times New Roman" w:hAnsi="Times New Roman" w:eastAsia="仿宋_GB2312" w:cs="Times New Roman"/>
                <w:bCs/>
                <w:color w:val="000000" w:themeColor="text1"/>
                <w:kern w:val="0"/>
                <w:sz w:val="24"/>
                <w:szCs w:val="24"/>
                <w:highlight w:val="none"/>
                <w14:textFill>
                  <w14:solidFill>
                    <w14:schemeClr w14:val="tx1"/>
                  </w14:solidFill>
                </w14:textFill>
              </w:rPr>
            </w:pPr>
          </w:p>
        </w:tc>
        <w:tc>
          <w:tcPr>
            <w:tcW w:w="2193" w:type="dxa"/>
            <w:vAlign w:val="center"/>
          </w:tcPr>
          <w:p w14:paraId="74E35A33">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500" w:type="dxa"/>
            <w:vAlign w:val="center"/>
          </w:tcPr>
          <w:p w14:paraId="1C4C7BE7">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00" w:type="dxa"/>
          </w:tcPr>
          <w:p w14:paraId="124D4BF0">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369" w:type="dxa"/>
          </w:tcPr>
          <w:p w14:paraId="74B59F9D">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56" w:type="dxa"/>
            <w:vAlign w:val="center"/>
          </w:tcPr>
          <w:p w14:paraId="39DED686">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668" w:type="dxa"/>
            <w:vAlign w:val="center"/>
          </w:tcPr>
          <w:p w14:paraId="18A5E599">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r>
      <w:tr w14:paraId="521C2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1" w:type="dxa"/>
            <w:vAlign w:val="center"/>
          </w:tcPr>
          <w:p w14:paraId="5564BD8B">
            <w:pPr>
              <w:jc w:val="cente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t>4-4</w:t>
            </w:r>
          </w:p>
        </w:tc>
        <w:tc>
          <w:tcPr>
            <w:tcW w:w="4625" w:type="dxa"/>
            <w:vAlign w:val="center"/>
          </w:tcPr>
          <w:p w14:paraId="496B7745">
            <w:pPr>
              <w:jc w:val="left"/>
              <w:rPr>
                <w:rFonts w:hint="default" w:ascii="Times New Roman" w:hAnsi="Times New Roman" w:eastAsia="仿宋_GB2312" w:cs="Times New Roman"/>
                <w:b/>
                <w:bCs/>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b/>
                <w:bCs/>
                <w:color w:val="000000" w:themeColor="text1"/>
                <w:kern w:val="0"/>
                <w:sz w:val="24"/>
                <w:szCs w:val="24"/>
                <w:highlight w:val="none"/>
                <w14:textFill>
                  <w14:solidFill>
                    <w14:schemeClr w14:val="tx1"/>
                  </w14:solidFill>
                </w14:textFill>
              </w:rPr>
              <w:t>经营成果</w:t>
            </w:r>
          </w:p>
        </w:tc>
        <w:tc>
          <w:tcPr>
            <w:tcW w:w="1163" w:type="dxa"/>
            <w:vAlign w:val="center"/>
          </w:tcPr>
          <w:p w14:paraId="487A2D1B">
            <w:pPr>
              <w:rPr>
                <w:rFonts w:hint="default" w:ascii="Times New Roman" w:hAnsi="Times New Roman" w:eastAsia="仿宋_GB2312" w:cs="Times New Roman"/>
                <w:bCs/>
                <w:color w:val="000000" w:themeColor="text1"/>
                <w:kern w:val="0"/>
                <w:sz w:val="24"/>
                <w:szCs w:val="24"/>
                <w:highlight w:val="none"/>
                <w14:textFill>
                  <w14:solidFill>
                    <w14:schemeClr w14:val="tx1"/>
                  </w14:solidFill>
                </w14:textFill>
              </w:rPr>
            </w:pPr>
          </w:p>
        </w:tc>
        <w:tc>
          <w:tcPr>
            <w:tcW w:w="2193" w:type="dxa"/>
            <w:vAlign w:val="center"/>
          </w:tcPr>
          <w:p w14:paraId="75ECAE0A">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500" w:type="dxa"/>
            <w:vAlign w:val="center"/>
          </w:tcPr>
          <w:p w14:paraId="59B5D137">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00" w:type="dxa"/>
          </w:tcPr>
          <w:p w14:paraId="49D623C1">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369" w:type="dxa"/>
          </w:tcPr>
          <w:p w14:paraId="027AECCA">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56" w:type="dxa"/>
            <w:vAlign w:val="center"/>
          </w:tcPr>
          <w:p w14:paraId="4E0547CE">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668" w:type="dxa"/>
            <w:vAlign w:val="center"/>
          </w:tcPr>
          <w:p w14:paraId="6EC9D947">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r>
      <w:tr w14:paraId="032EF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14725" w:type="dxa"/>
            <w:gridSpan w:val="9"/>
            <w:vAlign w:val="center"/>
          </w:tcPr>
          <w:p w14:paraId="0310A48C">
            <w:pPr>
              <w:jc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b/>
                <w:bCs/>
                <w:color w:val="000000" w:themeColor="text1"/>
                <w:kern w:val="0"/>
                <w:sz w:val="24"/>
                <w:szCs w:val="24"/>
                <w:highlight w:val="none"/>
                <w14:textFill>
                  <w14:solidFill>
                    <w14:schemeClr w14:val="tx1"/>
                  </w14:solidFill>
                </w14:textFill>
              </w:rPr>
              <w:t>五、其他</w:t>
            </w:r>
          </w:p>
        </w:tc>
      </w:tr>
      <w:tr w14:paraId="5FBDE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1" w:type="dxa"/>
            <w:vAlign w:val="center"/>
          </w:tcPr>
          <w:p w14:paraId="690374FD">
            <w:pPr>
              <w:jc w:val="center"/>
              <w:rPr>
                <w:rFonts w:hint="default" w:ascii="Times New Roman" w:hAnsi="Times New Roman" w:eastAsia="仿宋_GB2312" w:cs="Times New Roman"/>
                <w:b/>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仿宋_GB2312" w:cs="Times New Roman"/>
                <w:b/>
                <w:color w:val="000000" w:themeColor="text1"/>
                <w:kern w:val="0"/>
                <w:sz w:val="24"/>
                <w:szCs w:val="24"/>
                <w:highlight w:val="none"/>
                <w:lang w:val="en-US" w:eastAsia="zh-CN"/>
                <w14:textFill>
                  <w14:solidFill>
                    <w14:schemeClr w14:val="tx1"/>
                  </w14:solidFill>
                </w14:textFill>
              </w:rPr>
              <w:t>5-1</w:t>
            </w:r>
          </w:p>
        </w:tc>
        <w:tc>
          <w:tcPr>
            <w:tcW w:w="4625" w:type="dxa"/>
            <w:vAlign w:val="center"/>
          </w:tcPr>
          <w:p w14:paraId="75D9B359">
            <w:pPr>
              <w:jc w:val="left"/>
              <w:rPr>
                <w:rFonts w:hint="default" w:ascii="Times New Roman" w:hAnsi="Times New Roman" w:eastAsia="仿宋_GB2312" w:cs="Times New Roman"/>
                <w:b/>
                <w:kern w:val="0"/>
                <w:sz w:val="24"/>
                <w:szCs w:val="24"/>
                <w:highlight w:val="none"/>
                <w:lang w:eastAsia="zh-CN"/>
              </w:rPr>
            </w:pPr>
            <w:r>
              <w:rPr>
                <w:rFonts w:hint="default" w:ascii="Times New Roman" w:hAnsi="Times New Roman" w:eastAsia="仿宋_GB2312" w:cs="Times New Roman"/>
                <w:b/>
                <w:kern w:val="0"/>
                <w:sz w:val="24"/>
                <w:szCs w:val="24"/>
                <w:highlight w:val="none"/>
                <w:lang w:eastAsia="zh-CN"/>
              </w:rPr>
              <w:t>审核程序</w:t>
            </w:r>
          </w:p>
        </w:tc>
        <w:tc>
          <w:tcPr>
            <w:tcW w:w="1163" w:type="dxa"/>
            <w:vAlign w:val="center"/>
          </w:tcPr>
          <w:p w14:paraId="633F60A4">
            <w:pPr>
              <w:rPr>
                <w:rFonts w:hint="default" w:ascii="Times New Roman" w:hAnsi="Times New Roman" w:eastAsia="仿宋_GB2312" w:cs="Times New Roman"/>
                <w:bCs/>
                <w:color w:val="000000" w:themeColor="text1"/>
                <w:kern w:val="0"/>
                <w:sz w:val="24"/>
                <w:szCs w:val="24"/>
                <w:highlight w:val="none"/>
                <w14:textFill>
                  <w14:solidFill>
                    <w14:schemeClr w14:val="tx1"/>
                  </w14:solidFill>
                </w14:textFill>
              </w:rPr>
            </w:pPr>
          </w:p>
        </w:tc>
        <w:tc>
          <w:tcPr>
            <w:tcW w:w="2193" w:type="dxa"/>
            <w:vAlign w:val="center"/>
          </w:tcPr>
          <w:p w14:paraId="1586B274">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500" w:type="dxa"/>
            <w:vAlign w:val="center"/>
          </w:tcPr>
          <w:p w14:paraId="0933D527">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00" w:type="dxa"/>
          </w:tcPr>
          <w:p w14:paraId="6FD4E7B2">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369" w:type="dxa"/>
          </w:tcPr>
          <w:p w14:paraId="22C4244B">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56" w:type="dxa"/>
            <w:vAlign w:val="center"/>
          </w:tcPr>
          <w:p w14:paraId="2C9F179A">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668" w:type="dxa"/>
            <w:vAlign w:val="center"/>
          </w:tcPr>
          <w:p w14:paraId="32E755C2">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r>
      <w:tr w14:paraId="29030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1" w:type="dxa"/>
            <w:vAlign w:val="center"/>
          </w:tcPr>
          <w:p w14:paraId="70CC6397">
            <w:pPr>
              <w:jc w:val="cente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t>5-</w:t>
            </w:r>
            <w:r>
              <w:rPr>
                <w:rFonts w:hint="default" w:ascii="Times New Roman" w:hAnsi="Times New Roman" w:eastAsia="仿宋_GB2312" w:cs="Times New Roman"/>
                <w:b/>
                <w:color w:val="000000" w:themeColor="text1"/>
                <w:kern w:val="0"/>
                <w:sz w:val="24"/>
                <w:szCs w:val="24"/>
                <w:highlight w:val="none"/>
                <w:lang w:val="en-US" w:eastAsia="zh-CN"/>
                <w14:textFill>
                  <w14:solidFill>
                    <w14:schemeClr w14:val="tx1"/>
                  </w14:solidFill>
                </w14:textFill>
              </w:rPr>
              <w:t>2</w:t>
            </w:r>
          </w:p>
        </w:tc>
        <w:tc>
          <w:tcPr>
            <w:tcW w:w="4625" w:type="dxa"/>
            <w:vAlign w:val="center"/>
          </w:tcPr>
          <w:p w14:paraId="54C1EB56">
            <w:pPr>
              <w:jc w:val="left"/>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b/>
                <w:kern w:val="0"/>
                <w:sz w:val="24"/>
                <w:szCs w:val="24"/>
                <w:highlight w:val="none"/>
              </w:rPr>
              <w:t>信息披露要求及信息披露豁免</w:t>
            </w:r>
          </w:p>
        </w:tc>
        <w:tc>
          <w:tcPr>
            <w:tcW w:w="1163" w:type="dxa"/>
            <w:vAlign w:val="center"/>
          </w:tcPr>
          <w:p w14:paraId="2A62E7EB">
            <w:pPr>
              <w:rPr>
                <w:rFonts w:hint="default" w:ascii="Times New Roman" w:hAnsi="Times New Roman" w:eastAsia="仿宋_GB2312" w:cs="Times New Roman"/>
                <w:bCs/>
                <w:color w:val="000000" w:themeColor="text1"/>
                <w:kern w:val="0"/>
                <w:sz w:val="24"/>
                <w:szCs w:val="24"/>
                <w:highlight w:val="none"/>
                <w14:textFill>
                  <w14:solidFill>
                    <w14:schemeClr w14:val="tx1"/>
                  </w14:solidFill>
                </w14:textFill>
              </w:rPr>
            </w:pPr>
          </w:p>
        </w:tc>
        <w:tc>
          <w:tcPr>
            <w:tcW w:w="2193" w:type="dxa"/>
            <w:vAlign w:val="center"/>
          </w:tcPr>
          <w:p w14:paraId="3E952E6E">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500" w:type="dxa"/>
            <w:vAlign w:val="center"/>
          </w:tcPr>
          <w:p w14:paraId="44152433">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00" w:type="dxa"/>
          </w:tcPr>
          <w:p w14:paraId="67DAD4C5">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369" w:type="dxa"/>
          </w:tcPr>
          <w:p w14:paraId="22655784">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56" w:type="dxa"/>
            <w:vAlign w:val="center"/>
          </w:tcPr>
          <w:p w14:paraId="335770A1">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668" w:type="dxa"/>
            <w:vAlign w:val="center"/>
          </w:tcPr>
          <w:p w14:paraId="60FD4B01">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r>
      <w:tr w14:paraId="164A6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751" w:type="dxa"/>
            <w:vAlign w:val="center"/>
          </w:tcPr>
          <w:p w14:paraId="22EB47AB">
            <w:pPr>
              <w:jc w:val="cente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t>5-</w:t>
            </w:r>
            <w:r>
              <w:rPr>
                <w:rFonts w:hint="default" w:ascii="Times New Roman" w:hAnsi="Times New Roman" w:eastAsia="仿宋_GB2312" w:cs="Times New Roman"/>
                <w:b/>
                <w:color w:val="000000" w:themeColor="text1"/>
                <w:kern w:val="0"/>
                <w:sz w:val="24"/>
                <w:szCs w:val="24"/>
                <w:highlight w:val="none"/>
                <w:lang w:val="en-US" w:eastAsia="zh-CN"/>
                <w14:textFill>
                  <w14:solidFill>
                    <w14:schemeClr w14:val="tx1"/>
                  </w14:solidFill>
                </w14:textFill>
              </w:rPr>
              <w:t>3</w:t>
            </w:r>
          </w:p>
        </w:tc>
        <w:tc>
          <w:tcPr>
            <w:tcW w:w="4625" w:type="dxa"/>
            <w:vAlign w:val="center"/>
          </w:tcPr>
          <w:p w14:paraId="163F6803">
            <w:pPr>
              <w:jc w:val="left"/>
              <w:rPr>
                <w:rFonts w:hint="default" w:ascii="Times New Roman" w:hAnsi="Times New Roman" w:eastAsia="仿宋_GB2312" w:cs="Times New Roman"/>
                <w:b/>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b/>
                <w:kern w:val="0"/>
                <w:sz w:val="24"/>
                <w:szCs w:val="24"/>
                <w:highlight w:val="none"/>
              </w:rPr>
              <w:t>重组前业绩异常或拟置出资产</w:t>
            </w:r>
          </w:p>
        </w:tc>
        <w:tc>
          <w:tcPr>
            <w:tcW w:w="1163" w:type="dxa"/>
            <w:vAlign w:val="center"/>
          </w:tcPr>
          <w:p w14:paraId="0F5283C0">
            <w:pPr>
              <w:rPr>
                <w:rFonts w:hint="default" w:ascii="Times New Roman" w:hAnsi="Times New Roman" w:eastAsia="仿宋_GB2312" w:cs="Times New Roman"/>
                <w:bCs/>
                <w:color w:val="000000" w:themeColor="text1"/>
                <w:kern w:val="0"/>
                <w:sz w:val="24"/>
                <w:szCs w:val="24"/>
                <w:highlight w:val="none"/>
                <w14:textFill>
                  <w14:solidFill>
                    <w14:schemeClr w14:val="tx1"/>
                  </w14:solidFill>
                </w14:textFill>
              </w:rPr>
            </w:pPr>
          </w:p>
        </w:tc>
        <w:tc>
          <w:tcPr>
            <w:tcW w:w="2193" w:type="dxa"/>
            <w:vAlign w:val="center"/>
          </w:tcPr>
          <w:p w14:paraId="5AC3D2D7">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500" w:type="dxa"/>
            <w:vAlign w:val="center"/>
          </w:tcPr>
          <w:p w14:paraId="31214C80">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00" w:type="dxa"/>
          </w:tcPr>
          <w:p w14:paraId="7A69DC8B">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369" w:type="dxa"/>
          </w:tcPr>
          <w:p w14:paraId="0B330E0E">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1256" w:type="dxa"/>
            <w:vAlign w:val="center"/>
          </w:tcPr>
          <w:p w14:paraId="271C973F">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c>
          <w:tcPr>
            <w:tcW w:w="668" w:type="dxa"/>
            <w:vAlign w:val="center"/>
          </w:tcPr>
          <w:p w14:paraId="48D375D8">
            <w:pP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p>
        </w:tc>
      </w:tr>
    </w:tbl>
    <w:p w14:paraId="0674C44E">
      <w:pPr>
        <w:adjustRightInd w:val="0"/>
        <w:snapToGrid w:val="0"/>
        <w:spacing w:line="600" w:lineRule="exact"/>
        <w:ind w:firstLine="602" w:firstLineChars="200"/>
        <w:rPr>
          <w:rFonts w:hint="default" w:ascii="Times New Roman" w:hAnsi="Times New Roman" w:eastAsia="黑体" w:cs="Times New Roman"/>
          <w:b/>
          <w:color w:val="000000" w:themeColor="text1"/>
          <w:sz w:val="30"/>
          <w:szCs w:val="30"/>
          <w:highlight w:val="none"/>
          <w14:textFill>
            <w14:solidFill>
              <w14:schemeClr w14:val="tx1"/>
            </w14:solidFill>
          </w14:textFill>
        </w:rPr>
      </w:pPr>
    </w:p>
    <w:p w14:paraId="42A12FC5">
      <w:pPr>
        <w:adjustRightInd w:val="0"/>
        <w:snapToGrid w:val="0"/>
        <w:spacing w:line="600" w:lineRule="exact"/>
        <w:ind w:firstLine="602" w:firstLineChars="200"/>
        <w:rPr>
          <w:rFonts w:hint="default" w:ascii="Times New Roman" w:hAnsi="Times New Roman" w:eastAsia="黑体" w:cs="Times New Roman"/>
          <w:b/>
          <w:color w:val="000000" w:themeColor="text1"/>
          <w:sz w:val="44"/>
          <w:szCs w:val="44"/>
          <w:highlight w:val="none"/>
          <w14:textFill>
            <w14:solidFill>
              <w14:schemeClr w14:val="tx1"/>
            </w14:solidFill>
          </w14:textFill>
        </w:rPr>
      </w:pPr>
      <w:r>
        <w:rPr>
          <w:rFonts w:hint="default" w:ascii="Times New Roman" w:hAnsi="Times New Roman" w:eastAsia="黑体" w:cs="Times New Roman"/>
          <w:b/>
          <w:color w:val="000000" w:themeColor="text1"/>
          <w:sz w:val="30"/>
          <w:szCs w:val="30"/>
          <w:highlight w:val="none"/>
          <w14:textFill>
            <w14:solidFill>
              <w14:schemeClr w14:val="tx1"/>
            </w14:solidFill>
          </w14:textFill>
        </w:rPr>
        <w:t>填写要求：</w:t>
      </w:r>
    </w:p>
    <w:p w14:paraId="65539FD5">
      <w:pPr>
        <w:adjustRightInd w:val="0"/>
        <w:snapToGrid w:val="0"/>
        <w:spacing w:line="600" w:lineRule="exact"/>
        <w:ind w:firstLine="602" w:firstLineChars="200"/>
        <w:outlineLvl w:val="0"/>
        <w:rPr>
          <w:rFonts w:hint="default" w:ascii="Times New Roman" w:hAnsi="Times New Roman" w:eastAsia="黑体" w:cs="Times New Roman"/>
          <w:b/>
          <w:color w:val="000000" w:themeColor="text1"/>
          <w:sz w:val="30"/>
          <w:szCs w:val="30"/>
          <w:highlight w:val="none"/>
          <w14:textFill>
            <w14:solidFill>
              <w14:schemeClr w14:val="tx1"/>
            </w14:solidFill>
          </w14:textFill>
        </w:rPr>
      </w:pPr>
      <w:r>
        <w:rPr>
          <w:rFonts w:hint="default" w:ascii="Times New Roman" w:hAnsi="Times New Roman" w:eastAsia="黑体" w:cs="Times New Roman"/>
          <w:b/>
          <w:color w:val="000000" w:themeColor="text1"/>
          <w:sz w:val="30"/>
          <w:szCs w:val="30"/>
          <w:highlight w:val="none"/>
          <w14:textFill>
            <w14:solidFill>
              <w14:schemeClr w14:val="tx1"/>
            </w14:solidFill>
          </w14:textFill>
        </w:rPr>
        <w:t>一、填写规范</w:t>
      </w:r>
    </w:p>
    <w:p w14:paraId="4539EA5D">
      <w:pPr>
        <w:spacing w:line="600" w:lineRule="exact"/>
        <w:ind w:firstLine="600" w:firstLineChars="200"/>
        <w:jc w:val="left"/>
        <w:rPr>
          <w:rFonts w:hint="default" w:ascii="Times New Roman" w:hAnsi="Times New Roman" w:eastAsia="仿宋_GB2312" w:cs="Times New Roman"/>
          <w:color w:val="000000" w:themeColor="text1"/>
          <w:sz w:val="30"/>
          <w:szCs w:val="30"/>
          <w:highlight w:val="none"/>
          <w14:textFill>
            <w14:solidFill>
              <w14:schemeClr w14:val="tx1"/>
            </w14:solidFill>
          </w14:textFill>
        </w:rPr>
      </w:pPr>
      <w:r>
        <w:rPr>
          <w:rFonts w:hint="default" w:ascii="Times New Roman" w:hAnsi="Times New Roman" w:eastAsia="仿宋_GB2312" w:cs="Times New Roman"/>
          <w:color w:val="000000" w:themeColor="text1"/>
          <w:sz w:val="30"/>
          <w:szCs w:val="30"/>
          <w:highlight w:val="none"/>
          <w14:textFill>
            <w14:solidFill>
              <w14:schemeClr w14:val="tx1"/>
            </w14:solidFill>
          </w14:textFill>
        </w:rPr>
        <w:t>1.请独立财务顾问、律师、会计师、评估师参考“二、核查及披露要求”认真、如实填写和提交《常见问题的信息披露和核查要求自查表》（以下简称《自查表》）。</w:t>
      </w:r>
    </w:p>
    <w:p w14:paraId="13C7EBB1">
      <w:pPr>
        <w:adjustRightInd w:val="0"/>
        <w:snapToGrid w:val="0"/>
        <w:spacing w:line="600" w:lineRule="exact"/>
        <w:ind w:firstLine="600" w:firstLineChars="200"/>
        <w:rPr>
          <w:rFonts w:hint="default" w:ascii="Times New Roman" w:hAnsi="Times New Roman" w:eastAsia="仿宋_GB2312" w:cs="Times New Roman"/>
          <w:color w:val="000000" w:themeColor="text1"/>
          <w:sz w:val="30"/>
          <w:szCs w:val="30"/>
          <w:highlight w:val="none"/>
          <w14:textFill>
            <w14:solidFill>
              <w14:schemeClr w14:val="tx1"/>
            </w14:solidFill>
          </w14:textFill>
        </w:rPr>
      </w:pPr>
      <w:r>
        <w:rPr>
          <w:rFonts w:hint="default" w:ascii="Times New Roman" w:hAnsi="Times New Roman" w:eastAsia="仿宋_GB2312" w:cs="Times New Roman"/>
          <w:color w:val="000000" w:themeColor="text1"/>
          <w:sz w:val="30"/>
          <w:szCs w:val="30"/>
          <w:highlight w:val="none"/>
          <w14:textFill>
            <w14:solidFill>
              <w14:schemeClr w14:val="tx1"/>
            </w14:solidFill>
          </w14:textFill>
        </w:rPr>
        <w:t>2.请独立财务顾问在《自查表》“披露要求落实情况”中填写相关内容在重组报告书的章节，在“核查要求落实情况”中填写相关适用事项在独立财务顾问报告等申报材料中的章节（如有）。</w:t>
      </w:r>
    </w:p>
    <w:p w14:paraId="7AFF61E6">
      <w:pPr>
        <w:spacing w:line="600" w:lineRule="exact"/>
        <w:ind w:firstLine="600" w:firstLineChars="200"/>
        <w:jc w:val="left"/>
        <w:rPr>
          <w:rFonts w:hint="default" w:ascii="Times New Roman" w:hAnsi="Times New Roman" w:eastAsia="仿宋_GB2312" w:cs="Times New Roman"/>
          <w:color w:val="000000" w:themeColor="text1"/>
          <w:sz w:val="30"/>
          <w:szCs w:val="30"/>
          <w:highlight w:val="none"/>
          <w14:textFill>
            <w14:solidFill>
              <w14:schemeClr w14:val="tx1"/>
            </w14:solidFill>
          </w14:textFill>
        </w:rPr>
      </w:pPr>
      <w:r>
        <w:rPr>
          <w:rFonts w:hint="default" w:ascii="Times New Roman" w:hAnsi="Times New Roman" w:eastAsia="仿宋_GB2312" w:cs="Times New Roman"/>
          <w:color w:val="000000" w:themeColor="text1"/>
          <w:sz w:val="30"/>
          <w:szCs w:val="30"/>
          <w:highlight w:val="none"/>
          <w14:textFill>
            <w14:solidFill>
              <w14:schemeClr w14:val="tx1"/>
            </w14:solidFill>
          </w14:textFill>
        </w:rPr>
        <w:t>3.涉及律师、会计师、评估师核查事项的，请在《自查表》后添加附件说明对相关问题的核查情况，并在《自查表》“核查要求落实情况”中填写相关适用事项对应的附件。</w:t>
      </w:r>
    </w:p>
    <w:p w14:paraId="750AE6FE">
      <w:pPr>
        <w:spacing w:line="600" w:lineRule="exact"/>
        <w:ind w:firstLine="600" w:firstLineChars="200"/>
        <w:rPr>
          <w:rFonts w:hint="default" w:ascii="Times New Roman" w:hAnsi="Times New Roman" w:eastAsia="仿宋_GB2312" w:cs="Times New Roman"/>
          <w:color w:val="000000" w:themeColor="text1"/>
          <w:sz w:val="30"/>
          <w:szCs w:val="30"/>
          <w:highlight w:val="none"/>
          <w14:textFill>
            <w14:solidFill>
              <w14:schemeClr w14:val="tx1"/>
            </w14:solidFill>
          </w14:textFill>
        </w:rPr>
      </w:pPr>
      <w:r>
        <w:rPr>
          <w:rFonts w:hint="default" w:ascii="Times New Roman" w:hAnsi="Times New Roman" w:eastAsia="仿宋_GB2312" w:cs="Times New Roman"/>
          <w:color w:val="000000" w:themeColor="text1"/>
          <w:sz w:val="30"/>
          <w:szCs w:val="30"/>
          <w:highlight w:val="none"/>
          <w14:textFill>
            <w14:solidFill>
              <w14:schemeClr w14:val="tx1"/>
            </w14:solidFill>
          </w14:textFill>
        </w:rPr>
        <w:t>4.相关事项注明为主板或科创板的，适用于特定板块上市公司；如无特别注明，科创板和主板均应适用。相关事项不适用的，原则上无需在独立财务顾问报告及相关附件中进行说明，但需在《自查表》“备注”一栏中写明理由。有其他需要特别说明的事项，亦请在“备注”一栏中填写。</w:t>
      </w:r>
    </w:p>
    <w:p w14:paraId="79BD8E7D">
      <w:pPr>
        <w:spacing w:line="600" w:lineRule="exact"/>
        <w:ind w:firstLine="600" w:firstLineChars="200"/>
        <w:rPr>
          <w:rFonts w:hint="default" w:ascii="Times New Roman" w:hAnsi="Times New Roman" w:eastAsia="仿宋_GB2312" w:cs="Times New Roman"/>
          <w:color w:val="000000" w:themeColor="text1"/>
          <w:sz w:val="30"/>
          <w:szCs w:val="30"/>
          <w:highlight w:val="none"/>
          <w14:textFill>
            <w14:solidFill>
              <w14:schemeClr w14:val="tx1"/>
            </w14:solidFill>
          </w14:textFill>
        </w:rPr>
      </w:pPr>
      <w:r>
        <w:rPr>
          <w:rFonts w:hint="default" w:ascii="Times New Roman" w:hAnsi="Times New Roman" w:eastAsia="仿宋_GB2312" w:cs="Times New Roman"/>
          <w:color w:val="000000" w:themeColor="text1"/>
          <w:sz w:val="30"/>
          <w:szCs w:val="30"/>
          <w:highlight w:val="none"/>
          <w14:textFill>
            <w14:solidFill>
              <w14:schemeClr w14:val="tx1"/>
            </w14:solidFill>
          </w14:textFill>
        </w:rPr>
        <w:t>5.请独立财务顾问在审核系统提交首次申报材料时或者受理后3个工作日内提交《自查表》，《自查表》填报目录为6-8-2，采用可编辑的word格式。</w:t>
      </w:r>
    </w:p>
    <w:p w14:paraId="51CFAFD5">
      <w:pPr>
        <w:spacing w:line="600" w:lineRule="exact"/>
        <w:ind w:firstLine="600" w:firstLineChars="200"/>
        <w:rPr>
          <w:rFonts w:hint="default" w:ascii="Times New Roman" w:hAnsi="Times New Roman" w:eastAsia="仿宋_GB2312" w:cs="Times New Roman"/>
          <w:color w:val="000000" w:themeColor="text1"/>
          <w:sz w:val="30"/>
          <w:szCs w:val="30"/>
          <w:highlight w:val="none"/>
          <w14:textFill>
            <w14:solidFill>
              <w14:schemeClr w14:val="tx1"/>
            </w14:solidFill>
          </w14:textFill>
        </w:rPr>
      </w:pPr>
      <w:r>
        <w:rPr>
          <w:rFonts w:hint="default" w:ascii="Times New Roman" w:hAnsi="Times New Roman" w:eastAsia="仿宋_GB2312" w:cs="Times New Roman"/>
          <w:color w:val="000000" w:themeColor="text1"/>
          <w:sz w:val="30"/>
          <w:szCs w:val="30"/>
          <w:highlight w:val="none"/>
          <w14:textFill>
            <w14:solidFill>
              <w14:schemeClr w14:val="tx1"/>
            </w14:solidFill>
          </w14:textFill>
        </w:rPr>
        <w:t>6.《自查表》应由独立财务顾问重组业务负责人、内核负责人、投行质控负责人、项目主办人、签字律师、签字会计师、签字评估师签字，加盖独立财务顾问、律师事务所、会计师事务所、评估机构或者估值机构（以下简称中介机构）公章并注明签署日期。</w:t>
      </w:r>
    </w:p>
    <w:p w14:paraId="0E8C6CBC">
      <w:pPr>
        <w:spacing w:line="600" w:lineRule="exact"/>
        <w:ind w:firstLine="600" w:firstLineChars="200"/>
        <w:rPr>
          <w:rFonts w:hint="default" w:ascii="Times New Roman" w:hAnsi="Times New Roman" w:eastAsia="仿宋_GB2312" w:cs="Times New Roman"/>
          <w:color w:val="000000" w:themeColor="text1"/>
          <w:sz w:val="30"/>
          <w:szCs w:val="30"/>
          <w:highlight w:val="none"/>
          <w14:textFill>
            <w14:solidFill>
              <w14:schemeClr w14:val="tx1"/>
            </w14:solidFill>
          </w14:textFill>
        </w:rPr>
      </w:pPr>
      <w:r>
        <w:rPr>
          <w:rFonts w:hint="default" w:ascii="Times New Roman" w:hAnsi="Times New Roman" w:eastAsia="仿宋_GB2312" w:cs="Times New Roman"/>
          <w:color w:val="000000" w:themeColor="text1"/>
          <w:sz w:val="30"/>
          <w:szCs w:val="30"/>
          <w:highlight w:val="none"/>
          <w14:textFill>
            <w14:solidFill>
              <w14:schemeClr w14:val="tx1"/>
            </w14:solidFill>
          </w14:textFill>
        </w:rPr>
        <w:t>7.《自查表》仅列示申报常见问题，以供参考。中介机构应当按照规则规定并结合上市公司实际情况，对申请文件进行审慎核查。如上市公司存在其他影响重组条件和信息披露要求的重大事项且不属于《自查表》事项的，可对《自查表》进行必要的增补。</w:t>
      </w:r>
    </w:p>
    <w:p w14:paraId="6F14F13E">
      <w:pPr>
        <w:spacing w:line="600" w:lineRule="exact"/>
        <w:ind w:firstLine="600" w:firstLineChars="200"/>
        <w:rPr>
          <w:rFonts w:hint="default" w:ascii="Times New Roman" w:hAnsi="Times New Roman" w:eastAsia="仿宋_GB2312" w:cs="Times New Roman"/>
          <w:color w:val="000000" w:themeColor="text1"/>
          <w:sz w:val="30"/>
          <w:szCs w:val="30"/>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0"/>
          <w:szCs w:val="30"/>
          <w:highlight w:val="none"/>
          <w:lang w:val="en-US" w:eastAsia="zh-CN"/>
          <w14:textFill>
            <w14:solidFill>
              <w14:schemeClr w14:val="tx1"/>
            </w14:solidFill>
          </w14:textFill>
        </w:rPr>
        <w:t>8.各中介机构应当高度重视，认真落实并回应信息披露及核查要求。对于已经按照《自查表》充分核查、披露的问题，本所将根据实际情况相应简化问询；对于未落实相关信息披露及核查要求，导致发行上市申请文件内容存在重大缺陷，严重影响投资者理解和上市审核的，本所将根据《上海证券交易所上市公司重大资产重组审核规则》等有关规定，终止发行上市审核。《自查表》的填报质量将作为中介机构执业质量评价的参考依据。</w:t>
      </w:r>
    </w:p>
    <w:p w14:paraId="21489243">
      <w:pPr>
        <w:spacing w:line="600" w:lineRule="exact"/>
        <w:ind w:firstLine="600" w:firstLineChars="200"/>
        <w:rPr>
          <w:rFonts w:hint="default" w:ascii="Times New Roman" w:hAnsi="Times New Roman" w:eastAsia="仿宋_GB2312" w:cs="Times New Roman"/>
          <w:color w:val="000000" w:themeColor="text1"/>
          <w:kern w:val="0"/>
          <w:sz w:val="30"/>
          <w:szCs w:val="30"/>
          <w:highlight w:val="none"/>
          <w14:textFill>
            <w14:solidFill>
              <w14:schemeClr w14:val="tx1"/>
            </w14:solidFill>
          </w14:textFill>
        </w:rPr>
      </w:pPr>
      <w:r>
        <w:rPr>
          <w:rFonts w:hint="default" w:ascii="Times New Roman" w:hAnsi="Times New Roman" w:eastAsia="仿宋_GB2312" w:cs="Times New Roman"/>
          <w:color w:val="000000" w:themeColor="text1"/>
          <w:sz w:val="30"/>
          <w:szCs w:val="30"/>
          <w:highlight w:val="none"/>
          <w14:textFill>
            <w14:solidFill>
              <w14:schemeClr w14:val="tx1"/>
            </w14:solidFill>
          </w14:textFill>
        </w:rPr>
        <w:t>本所将根据相关规则的修订，动态更新《自查表》。中介机构填写《自查表》过程中，如有任何疑问或完善建议，可通过电子邮件等方式向本所咨询或反映诉求。Email：</w:t>
      </w: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"mailto:shzx@sse.com.cn" </w:instrText>
      </w:r>
      <w:r>
        <w:rPr>
          <w:rFonts w:hint="default" w:ascii="Times New Roman" w:hAnsi="Times New Roman" w:cs="Times New Roman"/>
          <w:highlight w:val="none"/>
        </w:rPr>
        <w:fldChar w:fldCharType="separate"/>
      </w:r>
      <w:r>
        <w:rPr>
          <w:rStyle w:val="15"/>
          <w:rFonts w:hint="default" w:ascii="Times New Roman" w:hAnsi="Times New Roman" w:eastAsia="仿宋_GB2312" w:cs="Times New Roman"/>
          <w:color w:val="000000" w:themeColor="text1"/>
          <w:sz w:val="30"/>
          <w:szCs w:val="30"/>
          <w:highlight w:val="none"/>
          <w:u w:val="none"/>
          <w14:textFill>
            <w14:solidFill>
              <w14:schemeClr w14:val="tx1"/>
            </w14:solidFill>
          </w14:textFill>
        </w:rPr>
        <w:t>shzx@sse.com.cn</w:t>
      </w:r>
      <w:r>
        <w:rPr>
          <w:rStyle w:val="15"/>
          <w:rFonts w:hint="default" w:ascii="Times New Roman" w:hAnsi="Times New Roman" w:eastAsia="仿宋_GB2312" w:cs="Times New Roman"/>
          <w:color w:val="000000" w:themeColor="text1"/>
          <w:sz w:val="30"/>
          <w:szCs w:val="30"/>
          <w:highlight w:val="none"/>
          <w:u w:val="none"/>
          <w14:textFill>
            <w14:solidFill>
              <w14:schemeClr w14:val="tx1"/>
            </w14:solidFill>
          </w14:textFill>
        </w:rPr>
        <w:fldChar w:fldCharType="end"/>
      </w:r>
    </w:p>
    <w:p w14:paraId="6FABEB8F">
      <w:pPr>
        <w:adjustRightInd w:val="0"/>
        <w:snapToGrid w:val="0"/>
        <w:spacing w:line="600" w:lineRule="exact"/>
        <w:ind w:firstLine="452" w:firstLineChars="150"/>
        <w:rPr>
          <w:rFonts w:hint="default" w:ascii="Times New Roman" w:hAnsi="Times New Roman" w:eastAsia="黑体" w:cs="Times New Roman"/>
          <w:b/>
          <w:color w:val="000000" w:themeColor="text1"/>
          <w:sz w:val="30"/>
          <w:szCs w:val="30"/>
          <w:highlight w:val="none"/>
          <w14:textFill>
            <w14:solidFill>
              <w14:schemeClr w14:val="tx1"/>
            </w14:solidFill>
          </w14:textFill>
        </w:rPr>
      </w:pPr>
    </w:p>
    <w:p w14:paraId="6FEB93B1">
      <w:pPr>
        <w:adjustRightInd w:val="0"/>
        <w:snapToGrid w:val="0"/>
        <w:spacing w:line="600" w:lineRule="exact"/>
        <w:ind w:firstLine="452" w:firstLineChars="150"/>
        <w:rPr>
          <w:rFonts w:hint="default" w:ascii="Times New Roman" w:hAnsi="Times New Roman" w:eastAsia="黑体" w:cs="Times New Roman"/>
          <w:b/>
          <w:color w:val="000000" w:themeColor="text1"/>
          <w:sz w:val="30"/>
          <w:szCs w:val="30"/>
          <w:highlight w:val="none"/>
          <w14:textFill>
            <w14:solidFill>
              <w14:schemeClr w14:val="tx1"/>
            </w14:solidFill>
          </w14:textFill>
        </w:rPr>
      </w:pPr>
    </w:p>
    <w:p w14:paraId="5BAC301C">
      <w:pPr>
        <w:adjustRightInd w:val="0"/>
        <w:snapToGrid w:val="0"/>
        <w:spacing w:line="600" w:lineRule="exact"/>
        <w:ind w:firstLine="602" w:firstLineChars="200"/>
        <w:rPr>
          <w:rFonts w:hint="default" w:ascii="Times New Roman" w:hAnsi="Times New Roman" w:eastAsia="黑体" w:cs="Times New Roman"/>
          <w:b/>
          <w:color w:val="000000" w:themeColor="text1"/>
          <w:sz w:val="30"/>
          <w:szCs w:val="30"/>
          <w:highlight w:val="none"/>
          <w14:textFill>
            <w14:solidFill>
              <w14:schemeClr w14:val="tx1"/>
            </w14:solidFill>
          </w14:textFill>
        </w:rPr>
      </w:pPr>
      <w:r>
        <w:rPr>
          <w:rFonts w:hint="default" w:ascii="Times New Roman" w:hAnsi="Times New Roman" w:eastAsia="黑体" w:cs="Times New Roman"/>
          <w:b/>
          <w:color w:val="000000" w:themeColor="text1"/>
          <w:sz w:val="30"/>
          <w:szCs w:val="30"/>
          <w:highlight w:val="none"/>
          <w14:textFill>
            <w14:solidFill>
              <w14:schemeClr w14:val="tx1"/>
            </w14:solidFill>
          </w14:textFill>
        </w:rPr>
        <w:t>二、核查及披露要求</w:t>
      </w:r>
    </w:p>
    <w:tbl>
      <w:tblPr>
        <w:tblStyle w:val="12"/>
        <w:tblW w:w="4942" w:type="pct"/>
        <w:tblInd w:w="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401"/>
        <w:gridCol w:w="4898"/>
        <w:gridCol w:w="5158"/>
        <w:gridCol w:w="1738"/>
      </w:tblGrid>
      <w:tr w14:paraId="65DC4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blHeader/>
        </w:trPr>
        <w:tc>
          <w:tcPr>
            <w:tcW w:w="5000" w:type="pct"/>
            <w:gridSpan w:val="5"/>
            <w:shd w:val="clear" w:color="auto" w:fill="8DB3E2" w:themeFill="text2" w:themeFillTint="66"/>
            <w:vAlign w:val="center"/>
          </w:tcPr>
          <w:p w14:paraId="0B88D9EE">
            <w:pPr>
              <w:widowControl/>
              <w:adjustRightInd w:val="0"/>
              <w:snapToGrid w:val="0"/>
              <w:ind w:firstLine="405"/>
              <w:jc w:val="center"/>
              <w:rPr>
                <w:rFonts w:hint="default" w:ascii="Times New Roman" w:hAnsi="Times New Roman" w:eastAsia="仿宋_GB2312" w:cs="Times New Roman"/>
                <w:b/>
                <w:bCs/>
                <w:color w:val="auto"/>
                <w:kern w:val="0"/>
                <w:sz w:val="24"/>
                <w:szCs w:val="24"/>
                <w:highlight w:val="none"/>
              </w:rPr>
            </w:pPr>
            <w:r>
              <w:rPr>
                <w:rFonts w:hint="default" w:ascii="Times New Roman" w:hAnsi="Times New Roman" w:eastAsia="仿宋_GB2312" w:cs="Times New Roman"/>
                <w:b/>
                <w:bCs/>
                <w:color w:val="auto"/>
                <w:kern w:val="0"/>
                <w:sz w:val="24"/>
                <w:szCs w:val="24"/>
                <w:highlight w:val="none"/>
              </w:rPr>
              <w:t>一、关于交易方案</w:t>
            </w:r>
          </w:p>
        </w:tc>
      </w:tr>
      <w:tr w14:paraId="7C62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blHeader/>
        </w:trPr>
        <w:tc>
          <w:tcPr>
            <w:tcW w:w="291" w:type="pct"/>
            <w:shd w:val="clear" w:color="auto" w:fill="auto"/>
            <w:vAlign w:val="center"/>
          </w:tcPr>
          <w:p w14:paraId="55D9F3E7">
            <w:pPr>
              <w:snapToGrid w:val="0"/>
              <w:jc w:val="center"/>
              <w:rPr>
                <w:rFonts w:hint="default" w:ascii="Times New Roman" w:hAnsi="Times New Roman" w:eastAsia="仿宋_GB2312" w:cs="Times New Roman"/>
                <w:b/>
                <w:bCs/>
                <w:color w:val="auto"/>
                <w:kern w:val="0"/>
                <w:sz w:val="24"/>
                <w:szCs w:val="24"/>
                <w:highlight w:val="none"/>
              </w:rPr>
            </w:pPr>
            <w:r>
              <w:rPr>
                <w:rFonts w:hint="default" w:ascii="Times New Roman" w:hAnsi="Times New Roman" w:eastAsia="仿宋_GB2312" w:cs="Times New Roman"/>
                <w:b/>
                <w:color w:val="auto"/>
                <w:kern w:val="0"/>
                <w:sz w:val="24"/>
                <w:szCs w:val="24"/>
                <w:highlight w:val="none"/>
              </w:rPr>
              <w:t>序号</w:t>
            </w:r>
          </w:p>
        </w:tc>
        <w:tc>
          <w:tcPr>
            <w:tcW w:w="499" w:type="pct"/>
            <w:shd w:val="clear" w:color="auto" w:fill="auto"/>
            <w:vAlign w:val="center"/>
          </w:tcPr>
          <w:p w14:paraId="24199757">
            <w:pPr>
              <w:snapToGrid w:val="0"/>
              <w:jc w:val="center"/>
              <w:rPr>
                <w:rFonts w:hint="default" w:ascii="Times New Roman" w:hAnsi="Times New Roman" w:eastAsia="仿宋_GB2312" w:cs="Times New Roman"/>
                <w:b/>
                <w:bCs/>
                <w:color w:val="auto"/>
                <w:kern w:val="0"/>
                <w:sz w:val="24"/>
                <w:szCs w:val="24"/>
                <w:highlight w:val="none"/>
              </w:rPr>
            </w:pPr>
            <w:r>
              <w:rPr>
                <w:rFonts w:hint="default" w:ascii="Times New Roman" w:hAnsi="Times New Roman" w:eastAsia="仿宋_GB2312" w:cs="Times New Roman"/>
                <w:b/>
                <w:color w:val="auto"/>
                <w:kern w:val="0"/>
                <w:sz w:val="24"/>
                <w:szCs w:val="24"/>
                <w:highlight w:val="none"/>
              </w:rPr>
              <w:t>问题</w:t>
            </w:r>
          </w:p>
        </w:tc>
        <w:tc>
          <w:tcPr>
            <w:tcW w:w="1747" w:type="pct"/>
            <w:shd w:val="clear" w:color="auto" w:fill="auto"/>
            <w:vAlign w:val="center"/>
          </w:tcPr>
          <w:p w14:paraId="629250EF">
            <w:pPr>
              <w:snapToGrid w:val="0"/>
              <w:jc w:val="center"/>
              <w:rPr>
                <w:rFonts w:hint="default" w:ascii="Times New Roman" w:hAnsi="Times New Roman" w:eastAsia="仿宋_GB2312" w:cs="Times New Roman"/>
                <w:b/>
                <w:bCs/>
                <w:color w:val="auto"/>
                <w:kern w:val="0"/>
                <w:sz w:val="24"/>
                <w:szCs w:val="24"/>
                <w:highlight w:val="none"/>
              </w:rPr>
            </w:pPr>
            <w:r>
              <w:rPr>
                <w:rFonts w:hint="default" w:ascii="Times New Roman" w:hAnsi="Times New Roman" w:eastAsia="仿宋_GB2312" w:cs="Times New Roman"/>
                <w:b/>
                <w:color w:val="auto"/>
                <w:kern w:val="0"/>
                <w:sz w:val="24"/>
                <w:szCs w:val="24"/>
                <w:highlight w:val="none"/>
              </w:rPr>
              <w:t>披露要求</w:t>
            </w:r>
          </w:p>
        </w:tc>
        <w:tc>
          <w:tcPr>
            <w:tcW w:w="1840" w:type="pct"/>
            <w:shd w:val="clear" w:color="auto" w:fill="auto"/>
            <w:vAlign w:val="center"/>
          </w:tcPr>
          <w:p w14:paraId="50D0571D">
            <w:pPr>
              <w:snapToGrid w:val="0"/>
              <w:jc w:val="center"/>
              <w:rPr>
                <w:rFonts w:hint="default" w:ascii="Times New Roman" w:hAnsi="Times New Roman" w:eastAsia="仿宋_GB2312" w:cs="Times New Roman"/>
                <w:b/>
                <w:bCs/>
                <w:color w:val="auto"/>
                <w:kern w:val="0"/>
                <w:sz w:val="24"/>
                <w:szCs w:val="24"/>
                <w:highlight w:val="none"/>
              </w:rPr>
            </w:pPr>
            <w:r>
              <w:rPr>
                <w:rFonts w:hint="default" w:ascii="Times New Roman" w:hAnsi="Times New Roman" w:eastAsia="仿宋_GB2312" w:cs="Times New Roman"/>
                <w:b/>
                <w:color w:val="auto"/>
                <w:kern w:val="0"/>
                <w:sz w:val="24"/>
                <w:szCs w:val="24"/>
                <w:highlight w:val="none"/>
              </w:rPr>
              <w:t>核查要求</w:t>
            </w:r>
          </w:p>
        </w:tc>
        <w:tc>
          <w:tcPr>
            <w:tcW w:w="620" w:type="pct"/>
            <w:shd w:val="clear" w:color="auto" w:fill="auto"/>
            <w:vAlign w:val="center"/>
          </w:tcPr>
          <w:p w14:paraId="0E8823CD">
            <w:pPr>
              <w:snapToGrid w:val="0"/>
              <w:jc w:val="center"/>
              <w:rPr>
                <w:rFonts w:hint="default" w:ascii="Times New Roman" w:hAnsi="Times New Roman" w:eastAsia="仿宋_GB2312" w:cs="Times New Roman"/>
                <w:b/>
                <w:bCs/>
                <w:color w:val="auto"/>
                <w:kern w:val="0"/>
                <w:sz w:val="24"/>
                <w:szCs w:val="24"/>
                <w:highlight w:val="none"/>
              </w:rPr>
            </w:pPr>
            <w:r>
              <w:rPr>
                <w:rFonts w:hint="default" w:ascii="Times New Roman" w:hAnsi="Times New Roman" w:eastAsia="仿宋_GB2312" w:cs="Times New Roman"/>
                <w:b/>
                <w:color w:val="auto"/>
                <w:kern w:val="0"/>
                <w:sz w:val="24"/>
                <w:szCs w:val="24"/>
                <w:highlight w:val="none"/>
              </w:rPr>
              <w:t>参考规范</w:t>
            </w:r>
          </w:p>
        </w:tc>
      </w:tr>
      <w:tr w14:paraId="59A5B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291" w:type="pct"/>
            <w:shd w:val="clear" w:color="auto" w:fill="auto"/>
            <w:vAlign w:val="center"/>
          </w:tcPr>
          <w:p w14:paraId="35999D18">
            <w:pPr>
              <w:jc w:val="center"/>
              <w:rPr>
                <w:rFonts w:hint="default" w:ascii="Times New Roman" w:hAnsi="Times New Roman" w:eastAsia="仿宋_GB2312" w:cs="Times New Roman"/>
                <w:b/>
                <w:bCs/>
                <w:color w:val="auto"/>
                <w:kern w:val="0"/>
                <w:sz w:val="24"/>
                <w:szCs w:val="24"/>
                <w:highlight w:val="none"/>
              </w:rPr>
            </w:pPr>
            <w:r>
              <w:rPr>
                <w:rFonts w:hint="default" w:ascii="Times New Roman" w:hAnsi="Times New Roman" w:eastAsia="仿宋_GB2312" w:cs="Times New Roman"/>
                <w:b/>
                <w:bCs/>
                <w:color w:val="auto"/>
                <w:kern w:val="0"/>
                <w:sz w:val="24"/>
                <w:szCs w:val="24"/>
                <w:highlight w:val="none"/>
              </w:rPr>
              <w:t>1-1</w:t>
            </w:r>
          </w:p>
        </w:tc>
        <w:tc>
          <w:tcPr>
            <w:tcW w:w="499" w:type="pct"/>
            <w:shd w:val="clear" w:color="auto" w:fill="auto"/>
            <w:vAlign w:val="center"/>
          </w:tcPr>
          <w:p w14:paraId="25230FB3">
            <w:pPr>
              <w:rPr>
                <w:rFonts w:hint="default" w:ascii="Times New Roman" w:hAnsi="Times New Roman" w:eastAsia="仿宋_GB2312" w:cs="Times New Roman"/>
                <w:b/>
                <w:bCs/>
                <w:color w:val="auto"/>
                <w:kern w:val="0"/>
                <w:sz w:val="24"/>
                <w:szCs w:val="24"/>
                <w:highlight w:val="none"/>
              </w:rPr>
            </w:pPr>
            <w:r>
              <w:rPr>
                <w:rFonts w:hint="default" w:ascii="Times New Roman" w:hAnsi="Times New Roman" w:eastAsia="仿宋_GB2312" w:cs="Times New Roman"/>
                <w:b/>
                <w:bCs/>
                <w:color w:val="auto"/>
                <w:sz w:val="24"/>
                <w:szCs w:val="24"/>
                <w:highlight w:val="none"/>
              </w:rPr>
              <w:t>交易必要性及协同效应</w:t>
            </w:r>
          </w:p>
        </w:tc>
        <w:tc>
          <w:tcPr>
            <w:tcW w:w="1747" w:type="pct"/>
            <w:shd w:val="clear" w:color="auto" w:fill="auto"/>
          </w:tcPr>
          <w:p w14:paraId="1433291C">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上市公司应当在重组报告书中披露：</w:t>
            </w:r>
          </w:p>
          <w:p w14:paraId="0F1FCF65">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1）本次交易的必要性，包括但不限于：上市公司是否具有明确可行的发展战略，是否存在不当市值管理行为，上市公司的控股股东、实际控制人、董事、高级管理人员在本次交易披露前后是否存在股份减持情形或者大比例减持计划，本次交易是否具有商业实质，是否存在利益输送的情形；</w:t>
            </w:r>
          </w:p>
          <w:p w14:paraId="0C95F129">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（2）</w:t>
            </w:r>
            <w:r>
              <w:rPr>
                <w:rFonts w:hint="default" w:ascii="Times New Roman" w:hAnsi="Times New Roman" w:eastAsia="仿宋_GB2312" w:cs="Times New Roman"/>
                <w:bCs/>
                <w:color w:val="auto"/>
                <w:kern w:val="0"/>
                <w:sz w:val="24"/>
                <w:szCs w:val="24"/>
                <w:highlight w:val="none"/>
                <w:lang w:val="en-US" w:eastAsia="zh-CN"/>
              </w:rPr>
              <w:t>上市公司</w:t>
            </w:r>
            <w:r>
              <w:rPr>
                <w:rFonts w:hint="default" w:ascii="Times New Roman" w:hAnsi="Times New Roman" w:eastAsia="仿宋_GB2312" w:cs="Times New Roman"/>
                <w:bCs/>
                <w:color w:val="auto"/>
                <w:kern w:val="0"/>
                <w:sz w:val="24"/>
                <w:szCs w:val="24"/>
                <w:highlight w:val="none"/>
              </w:rPr>
              <w:t>所购买资产与现有主营业务没有显著协同效应的，应当充分披露</w:t>
            </w:r>
            <w:r>
              <w:rPr>
                <w:rFonts w:hint="default" w:ascii="Times New Roman" w:hAnsi="Times New Roman" w:eastAsia="仿宋_GB2312" w:cs="Times New Roman"/>
                <w:bCs/>
                <w:color w:val="auto"/>
                <w:kern w:val="0"/>
                <w:sz w:val="24"/>
                <w:szCs w:val="24"/>
                <w:highlight w:val="none"/>
                <w:lang w:val="en-US" w:eastAsia="zh-CN"/>
              </w:rPr>
              <w:t>最近十二个月的规范运作情况、</w:t>
            </w:r>
            <w:r>
              <w:rPr>
                <w:rFonts w:hint="default" w:ascii="Times New Roman" w:hAnsi="Times New Roman" w:eastAsia="仿宋_GB2312" w:cs="Times New Roman"/>
                <w:bCs/>
                <w:color w:val="auto"/>
                <w:kern w:val="0"/>
                <w:sz w:val="24"/>
                <w:szCs w:val="24"/>
                <w:highlight w:val="none"/>
              </w:rPr>
              <w:t>本次交易后上市公司的经营发展战略和业务管理模式，以及业务转型升级可能面临的风险和应对措施；</w:t>
            </w:r>
          </w:p>
          <w:p w14:paraId="00120CFC">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（3）科创板上市公司应当披露拟购买资产所属行业是否</w:t>
            </w:r>
            <w:r>
              <w:rPr>
                <w:rFonts w:hint="default" w:ascii="Times New Roman" w:hAnsi="Times New Roman" w:eastAsia="仿宋_GB2312" w:cs="Times New Roman"/>
                <w:bCs/>
                <w:color w:val="auto"/>
                <w:kern w:val="0"/>
                <w:sz w:val="24"/>
                <w:szCs w:val="24"/>
                <w:highlight w:val="none"/>
                <w:lang w:eastAsia="zh-CN"/>
              </w:rPr>
              <w:t>符合</w:t>
            </w:r>
            <w:r>
              <w:rPr>
                <w:rFonts w:hint="default" w:ascii="Times New Roman" w:hAnsi="Times New Roman" w:eastAsia="仿宋_GB2312" w:cs="Times New Roman"/>
                <w:bCs/>
                <w:color w:val="auto"/>
                <w:kern w:val="0"/>
                <w:sz w:val="24"/>
                <w:szCs w:val="24"/>
                <w:highlight w:val="none"/>
              </w:rPr>
              <w:t>科创板行业</w:t>
            </w:r>
            <w:r>
              <w:rPr>
                <w:rFonts w:hint="default" w:ascii="Times New Roman" w:hAnsi="Times New Roman" w:eastAsia="仿宋_GB2312" w:cs="Times New Roman"/>
                <w:bCs/>
                <w:color w:val="auto"/>
                <w:kern w:val="0"/>
                <w:sz w:val="24"/>
                <w:szCs w:val="24"/>
                <w:highlight w:val="none"/>
                <w:lang w:eastAsia="zh-CN"/>
              </w:rPr>
              <w:t>定位</w:t>
            </w:r>
            <w:r>
              <w:rPr>
                <w:rFonts w:hint="default" w:ascii="Times New Roman" w:hAnsi="Times New Roman" w:eastAsia="仿宋_GB2312" w:cs="Times New Roman"/>
                <w:bCs/>
                <w:color w:val="auto"/>
                <w:kern w:val="0"/>
                <w:sz w:val="24"/>
                <w:szCs w:val="24"/>
                <w:highlight w:val="none"/>
              </w:rPr>
              <w:t>、</w:t>
            </w:r>
            <w:bookmarkStart w:id="0" w:name="_Hlk167610952"/>
            <w:r>
              <w:rPr>
                <w:rFonts w:hint="default" w:ascii="Times New Roman" w:hAnsi="Times New Roman" w:eastAsia="仿宋_GB2312" w:cs="Times New Roman"/>
                <w:bCs/>
                <w:color w:val="auto"/>
                <w:kern w:val="0"/>
                <w:sz w:val="24"/>
                <w:szCs w:val="24"/>
                <w:highlight w:val="none"/>
              </w:rPr>
              <w:t>所属行业与科创板上市公司是否处于同行业或者上下游</w:t>
            </w:r>
            <w:bookmarkEnd w:id="0"/>
            <w:r>
              <w:rPr>
                <w:rFonts w:hint="default" w:ascii="Times New Roman" w:hAnsi="Times New Roman" w:eastAsia="仿宋_GB2312" w:cs="Times New Roman"/>
                <w:bCs/>
                <w:color w:val="auto"/>
                <w:kern w:val="0"/>
                <w:sz w:val="24"/>
                <w:szCs w:val="24"/>
                <w:highlight w:val="none"/>
              </w:rPr>
              <w:t>，以及拟购买资产主营业务与上市公司主营业务是否具有协同效应。</w:t>
            </w:r>
          </w:p>
        </w:tc>
        <w:tc>
          <w:tcPr>
            <w:tcW w:w="5158" w:type="dxa"/>
            <w:shd w:val="clear" w:color="auto" w:fill="auto"/>
            <w:vAlign w:val="top"/>
          </w:tcPr>
          <w:p w14:paraId="58292F01">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独立财务顾问应对以下事项进行核查，并在《独立财务顾问报告》中发表明确核查意见：</w:t>
            </w:r>
          </w:p>
          <w:p w14:paraId="4F9C3391">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1）本次交易的商业逻辑，是否存在不当市值管理行为；上市公司的控股股东、实际控制人、董事、高级管理人员在本次交易披露前后是否存在股份减持情形或者大比例减持计划；本次交易是否具有商业实质，是否存在利益输送的情形；</w:t>
            </w:r>
          </w:p>
          <w:p w14:paraId="16B14676">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（2）上市公司</w:t>
            </w:r>
            <w:r>
              <w:rPr>
                <w:rFonts w:hint="default" w:ascii="Times New Roman" w:hAnsi="Times New Roman" w:eastAsia="仿宋_GB2312" w:cs="Times New Roman"/>
                <w:bCs/>
                <w:color w:val="auto"/>
                <w:kern w:val="0"/>
                <w:sz w:val="24"/>
                <w:szCs w:val="24"/>
                <w:highlight w:val="none"/>
                <w:lang w:eastAsia="zh-CN"/>
              </w:rPr>
              <w:t>所购买资产与现有主营业务没有显著协同效应的</w:t>
            </w:r>
            <w:r>
              <w:rPr>
                <w:rFonts w:hint="default" w:ascii="Times New Roman" w:hAnsi="Times New Roman" w:eastAsia="仿宋_GB2312" w:cs="Times New Roman"/>
                <w:bCs/>
                <w:color w:val="auto"/>
                <w:kern w:val="0"/>
                <w:sz w:val="24"/>
                <w:szCs w:val="24"/>
                <w:highlight w:val="none"/>
              </w:rPr>
              <w:t>，核查</w:t>
            </w:r>
            <w:r>
              <w:rPr>
                <w:rFonts w:hint="default" w:ascii="Times New Roman" w:hAnsi="Times New Roman" w:eastAsia="仿宋_GB2312" w:cs="Times New Roman"/>
                <w:bCs/>
                <w:color w:val="auto"/>
                <w:kern w:val="0"/>
                <w:sz w:val="24"/>
                <w:szCs w:val="24"/>
                <w:highlight w:val="none"/>
                <w:lang w:val="en-US" w:eastAsia="zh-CN"/>
              </w:rPr>
              <w:t>最近十二个月的规范运作情况，是否满足上市公司产业转型升级、寻求第二增长曲线等需求，是否符合商业逻辑，</w:t>
            </w:r>
            <w:r>
              <w:rPr>
                <w:rFonts w:hint="default" w:ascii="Times New Roman" w:hAnsi="Times New Roman" w:eastAsia="仿宋_GB2312" w:cs="Times New Roman"/>
                <w:bCs/>
                <w:color w:val="auto"/>
                <w:kern w:val="0"/>
                <w:sz w:val="24"/>
                <w:szCs w:val="24"/>
                <w:highlight w:val="none"/>
              </w:rPr>
              <w:t>是否符合《上市公司重大资产重组管理办法》（以下简称《重组办法》）第四十</w:t>
            </w:r>
            <w:r>
              <w:rPr>
                <w:rFonts w:hint="default" w:ascii="Times New Roman" w:hAnsi="Times New Roman" w:eastAsia="仿宋_GB2312" w:cs="Times New Roman"/>
                <w:bCs/>
                <w:color w:val="auto"/>
                <w:kern w:val="0"/>
                <w:sz w:val="24"/>
                <w:szCs w:val="24"/>
                <w:highlight w:val="none"/>
                <w:lang w:eastAsia="zh-CN"/>
              </w:rPr>
              <w:t>四</w:t>
            </w:r>
            <w:r>
              <w:rPr>
                <w:rFonts w:hint="default" w:ascii="Times New Roman" w:hAnsi="Times New Roman" w:eastAsia="仿宋_GB2312" w:cs="Times New Roman"/>
                <w:bCs/>
                <w:color w:val="auto"/>
                <w:kern w:val="0"/>
                <w:sz w:val="24"/>
                <w:szCs w:val="24"/>
                <w:highlight w:val="none"/>
              </w:rPr>
              <w:t>条</w:t>
            </w:r>
            <w:r>
              <w:rPr>
                <w:rFonts w:hint="default" w:ascii="Times New Roman" w:hAnsi="Times New Roman" w:eastAsia="仿宋_GB2312" w:cs="Times New Roman"/>
                <w:bCs/>
                <w:color w:val="auto"/>
                <w:kern w:val="0"/>
                <w:sz w:val="24"/>
                <w:szCs w:val="24"/>
                <w:highlight w:val="none"/>
                <w:lang w:val="en-US" w:eastAsia="zh-CN"/>
              </w:rPr>
              <w:t>第二款</w:t>
            </w:r>
            <w:r>
              <w:rPr>
                <w:rFonts w:hint="default" w:ascii="Times New Roman" w:hAnsi="Times New Roman" w:eastAsia="仿宋_GB2312" w:cs="Times New Roman"/>
                <w:bCs/>
                <w:color w:val="auto"/>
                <w:kern w:val="0"/>
                <w:sz w:val="24"/>
                <w:szCs w:val="24"/>
                <w:highlight w:val="none"/>
              </w:rPr>
              <w:t>的相关规定；</w:t>
            </w:r>
          </w:p>
          <w:p w14:paraId="483B9B25">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（3）科创板上市公司发行股份购买资产的，核查拟购买资产所属行业是否</w:t>
            </w:r>
            <w:r>
              <w:rPr>
                <w:rFonts w:hint="default" w:ascii="Times New Roman" w:hAnsi="Times New Roman" w:eastAsia="仿宋_GB2312" w:cs="Times New Roman"/>
                <w:bCs/>
                <w:color w:val="auto"/>
                <w:kern w:val="0"/>
                <w:sz w:val="24"/>
                <w:szCs w:val="24"/>
                <w:highlight w:val="none"/>
                <w:lang w:eastAsia="zh-CN"/>
              </w:rPr>
              <w:t>符合</w:t>
            </w:r>
            <w:r>
              <w:rPr>
                <w:rFonts w:hint="default" w:ascii="Times New Roman" w:hAnsi="Times New Roman" w:eastAsia="仿宋_GB2312" w:cs="Times New Roman"/>
                <w:bCs/>
                <w:color w:val="auto"/>
                <w:kern w:val="0"/>
                <w:sz w:val="24"/>
                <w:szCs w:val="24"/>
                <w:highlight w:val="none"/>
              </w:rPr>
              <w:t>科创板行业</w:t>
            </w:r>
            <w:r>
              <w:rPr>
                <w:rFonts w:hint="default" w:ascii="Times New Roman" w:hAnsi="Times New Roman" w:eastAsia="仿宋_GB2312" w:cs="Times New Roman"/>
                <w:bCs/>
                <w:color w:val="auto"/>
                <w:kern w:val="0"/>
                <w:sz w:val="24"/>
                <w:szCs w:val="24"/>
                <w:highlight w:val="none"/>
                <w:lang w:eastAsia="zh-CN"/>
              </w:rPr>
              <w:t>定位</w:t>
            </w:r>
            <w:r>
              <w:rPr>
                <w:rFonts w:hint="default" w:ascii="Times New Roman" w:hAnsi="Times New Roman" w:eastAsia="仿宋_GB2312" w:cs="Times New Roman"/>
                <w:bCs/>
                <w:color w:val="auto"/>
                <w:kern w:val="0"/>
                <w:sz w:val="24"/>
                <w:szCs w:val="24"/>
                <w:highlight w:val="none"/>
              </w:rPr>
              <w:t>、所属行业与科创板上市公司是否处于同行业或者上下游，以及拟购买资产主营业务与上市公司主营业务是否具有协同效应。</w:t>
            </w:r>
          </w:p>
          <w:p w14:paraId="4038C921">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律师应对</w:t>
            </w:r>
            <w:r>
              <w:rPr>
                <w:rFonts w:hint="default" w:ascii="Times New Roman" w:hAnsi="Times New Roman" w:eastAsia="仿宋_GB2312" w:cs="Times New Roman"/>
                <w:bCs/>
                <w:color w:val="auto"/>
                <w:kern w:val="0"/>
                <w:sz w:val="24"/>
                <w:szCs w:val="24"/>
                <w:highlight w:val="none"/>
                <w:lang w:val="en-US" w:eastAsia="zh-CN"/>
              </w:rPr>
              <w:t>上述事项</w:t>
            </w:r>
            <w:r>
              <w:rPr>
                <w:rFonts w:hint="default" w:ascii="Times New Roman" w:hAnsi="Times New Roman" w:eastAsia="仿宋_GB2312" w:cs="Times New Roman"/>
                <w:bCs/>
                <w:color w:val="auto"/>
                <w:kern w:val="0"/>
                <w:sz w:val="24"/>
                <w:szCs w:val="24"/>
                <w:highlight w:val="none"/>
              </w:rPr>
              <w:t>进行核查，并发表明确核查意见。</w:t>
            </w:r>
          </w:p>
        </w:tc>
        <w:tc>
          <w:tcPr>
            <w:tcW w:w="1738" w:type="dxa"/>
            <w:shd w:val="clear" w:color="auto" w:fill="auto"/>
            <w:vAlign w:val="top"/>
          </w:tcPr>
          <w:p w14:paraId="62C07053">
            <w:pPr>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color w:val="auto"/>
                <w:sz w:val="24"/>
                <w:szCs w:val="24"/>
                <w:highlight w:val="none"/>
              </w:rPr>
              <w:t>《重组办法》第四十</w:t>
            </w:r>
            <w:r>
              <w:rPr>
                <w:rFonts w:hint="default" w:ascii="Times New Roman" w:hAnsi="Times New Roman" w:eastAsia="仿宋_GB2312" w:cs="Times New Roman"/>
                <w:color w:val="auto"/>
                <w:sz w:val="24"/>
                <w:szCs w:val="24"/>
                <w:highlight w:val="none"/>
                <w:lang w:eastAsia="zh-CN"/>
              </w:rPr>
              <w:t>四</w:t>
            </w:r>
            <w:r>
              <w:rPr>
                <w:rFonts w:hint="default" w:ascii="Times New Roman" w:hAnsi="Times New Roman" w:eastAsia="仿宋_GB2312" w:cs="Times New Roman"/>
                <w:color w:val="auto"/>
                <w:sz w:val="24"/>
                <w:szCs w:val="24"/>
                <w:highlight w:val="none"/>
              </w:rPr>
              <w:t>条，《科创板上市公司持续监管办法（试行）》第</w:t>
            </w:r>
            <w:r>
              <w:rPr>
                <w:rFonts w:hint="default" w:ascii="Times New Roman" w:hAnsi="Times New Roman" w:eastAsia="仿宋_GB2312" w:cs="Times New Roman"/>
                <w:color w:val="auto"/>
                <w:sz w:val="24"/>
                <w:szCs w:val="24"/>
                <w:highlight w:val="none"/>
                <w:lang w:eastAsia="zh-CN"/>
              </w:rPr>
              <w:t>二十</w:t>
            </w:r>
            <w:r>
              <w:rPr>
                <w:rFonts w:hint="default" w:ascii="Times New Roman" w:hAnsi="Times New Roman" w:eastAsia="仿宋_GB2312" w:cs="Times New Roman"/>
                <w:color w:val="auto"/>
                <w:sz w:val="24"/>
                <w:szCs w:val="24"/>
                <w:highlight w:val="none"/>
              </w:rPr>
              <w:t>条，《上海证券交易所上市公司重大资产重组审核规则》（以下简称《重组审核规则》）第八条、第十六条、第二十二条</w:t>
            </w:r>
          </w:p>
        </w:tc>
      </w:tr>
      <w:tr w14:paraId="3FF2C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291" w:type="pct"/>
            <w:shd w:val="clear" w:color="auto" w:fill="auto"/>
            <w:vAlign w:val="center"/>
          </w:tcPr>
          <w:p w14:paraId="0078C658">
            <w:pPr>
              <w:jc w:val="center"/>
              <w:rPr>
                <w:rFonts w:hint="default" w:ascii="Times New Roman" w:hAnsi="Times New Roman" w:eastAsia="仿宋_GB2312" w:cs="Times New Roman"/>
                <w:b/>
                <w:bCs/>
                <w:color w:val="auto"/>
                <w:kern w:val="0"/>
                <w:sz w:val="24"/>
                <w:szCs w:val="24"/>
                <w:highlight w:val="none"/>
              </w:rPr>
            </w:pPr>
            <w:r>
              <w:rPr>
                <w:rFonts w:hint="default" w:ascii="Times New Roman" w:hAnsi="Times New Roman" w:eastAsia="仿宋_GB2312" w:cs="Times New Roman"/>
                <w:b/>
                <w:bCs/>
                <w:color w:val="auto"/>
                <w:kern w:val="0"/>
                <w:sz w:val="24"/>
                <w:szCs w:val="24"/>
                <w:highlight w:val="none"/>
              </w:rPr>
              <w:t>1-2</w:t>
            </w:r>
          </w:p>
        </w:tc>
        <w:tc>
          <w:tcPr>
            <w:tcW w:w="499" w:type="pct"/>
            <w:shd w:val="clear" w:color="auto" w:fill="auto"/>
            <w:vAlign w:val="center"/>
          </w:tcPr>
          <w:p w14:paraId="4CF7865A">
            <w:pPr>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支付方式</w:t>
            </w:r>
          </w:p>
        </w:tc>
        <w:tc>
          <w:tcPr>
            <w:tcW w:w="4898" w:type="dxa"/>
            <w:shd w:val="clear" w:color="auto" w:fill="auto"/>
            <w:vAlign w:val="top"/>
          </w:tcPr>
          <w:p w14:paraId="7D5E4055">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上市公司应当在重组报告书中披露：</w:t>
            </w:r>
          </w:p>
          <w:p w14:paraId="19BDD421">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（1）发行股份</w:t>
            </w:r>
            <w:r>
              <w:rPr>
                <w:rFonts w:hint="default" w:ascii="Times New Roman" w:hAnsi="Times New Roman" w:eastAsia="仿宋_GB2312" w:cs="Times New Roman"/>
                <w:bCs/>
                <w:color w:val="auto"/>
                <w:kern w:val="0"/>
                <w:sz w:val="24"/>
                <w:szCs w:val="24"/>
                <w:highlight w:val="none"/>
                <w:lang w:eastAsia="zh-CN"/>
              </w:rPr>
              <w:t>购买资产</w:t>
            </w:r>
            <w:r>
              <w:rPr>
                <w:rFonts w:hint="default" w:ascii="Times New Roman" w:hAnsi="Times New Roman" w:eastAsia="仿宋_GB2312" w:cs="Times New Roman"/>
                <w:bCs/>
                <w:color w:val="auto"/>
                <w:kern w:val="0"/>
                <w:sz w:val="24"/>
                <w:szCs w:val="24"/>
                <w:highlight w:val="none"/>
              </w:rPr>
              <w:t>的定价及依据、发行价格调整方案、发行数量、发行对象等相关信息；</w:t>
            </w:r>
          </w:p>
          <w:p w14:paraId="31DFB6BC">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（2）发行优先股、定向权证、存托凭证等</w:t>
            </w:r>
            <w:r>
              <w:rPr>
                <w:rFonts w:hint="default" w:ascii="Times New Roman" w:hAnsi="Times New Roman" w:eastAsia="仿宋_GB2312" w:cs="Times New Roman"/>
                <w:bCs/>
                <w:color w:val="auto"/>
                <w:kern w:val="0"/>
                <w:sz w:val="24"/>
                <w:szCs w:val="24"/>
                <w:highlight w:val="none"/>
                <w:lang w:eastAsia="zh-CN"/>
              </w:rPr>
              <w:t>购买资产</w:t>
            </w:r>
            <w:r>
              <w:rPr>
                <w:rFonts w:hint="default" w:ascii="Times New Roman" w:hAnsi="Times New Roman" w:eastAsia="仿宋_GB2312" w:cs="Times New Roman"/>
                <w:bCs/>
                <w:color w:val="auto"/>
                <w:kern w:val="0"/>
                <w:sz w:val="24"/>
                <w:szCs w:val="24"/>
                <w:highlight w:val="none"/>
              </w:rPr>
              <w:t>的，比照前项要求披露；</w:t>
            </w:r>
          </w:p>
          <w:p w14:paraId="51F39F4F">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（3）支付现金购买资产的资金来源（如适用）；</w:t>
            </w:r>
          </w:p>
          <w:p w14:paraId="7A4E7389">
            <w:pPr>
              <w:ind w:firstLine="480" w:firstLineChars="200"/>
              <w:rPr>
                <w:rFonts w:hint="default" w:ascii="Times New Roman" w:hAnsi="Times New Roman" w:eastAsia="仿宋_GB2312" w:cs="Times New Roman"/>
                <w:bCs/>
                <w:color w:val="auto"/>
                <w:kern w:val="0"/>
                <w:sz w:val="24"/>
                <w:szCs w:val="24"/>
                <w:highlight w:val="none"/>
                <w:lang w:val="en-US" w:eastAsia="zh-CN"/>
              </w:rPr>
            </w:pPr>
            <w:r>
              <w:rPr>
                <w:rFonts w:hint="default" w:ascii="Times New Roman" w:hAnsi="Times New Roman" w:eastAsia="仿宋_GB2312" w:cs="Times New Roman"/>
                <w:bCs/>
                <w:color w:val="auto"/>
                <w:kern w:val="0"/>
                <w:sz w:val="24"/>
                <w:szCs w:val="24"/>
                <w:highlight w:val="none"/>
                <w:lang w:eastAsia="zh-CN"/>
              </w:rPr>
              <w:t>（</w:t>
            </w:r>
            <w:r>
              <w:rPr>
                <w:rFonts w:hint="default" w:ascii="Times New Roman" w:hAnsi="Times New Roman" w:eastAsia="仿宋_GB2312" w:cs="Times New Roman"/>
                <w:bCs/>
                <w:color w:val="auto"/>
                <w:kern w:val="0"/>
                <w:sz w:val="24"/>
                <w:szCs w:val="24"/>
                <w:highlight w:val="none"/>
                <w:lang w:val="en-US" w:eastAsia="zh-CN"/>
              </w:rPr>
              <w:t>4</w:t>
            </w:r>
            <w:r>
              <w:rPr>
                <w:rFonts w:hint="default" w:ascii="Times New Roman" w:hAnsi="Times New Roman" w:eastAsia="仿宋_GB2312" w:cs="Times New Roman"/>
                <w:bCs/>
                <w:color w:val="auto"/>
                <w:kern w:val="0"/>
                <w:sz w:val="24"/>
                <w:szCs w:val="24"/>
                <w:highlight w:val="none"/>
                <w:lang w:eastAsia="zh-CN"/>
              </w:rPr>
              <w:t>）申请一次注册、分期发行股份支付购买资产对价的，</w:t>
            </w:r>
            <w:r>
              <w:rPr>
                <w:rFonts w:hint="default" w:ascii="Times New Roman" w:hAnsi="Times New Roman" w:eastAsia="仿宋_GB2312" w:cs="Times New Roman"/>
                <w:bCs/>
                <w:color w:val="auto"/>
                <w:kern w:val="0"/>
                <w:sz w:val="24"/>
                <w:szCs w:val="24"/>
                <w:highlight w:val="none"/>
                <w:lang w:val="en-US" w:eastAsia="zh-CN"/>
              </w:rPr>
              <w:t>披露分期发行的安排、股份数量及期限等具体</w:t>
            </w:r>
            <w:r>
              <w:rPr>
                <w:rFonts w:hint="eastAsia" w:ascii="Times New Roman" w:hAnsi="Times New Roman" w:eastAsia="仿宋_GB2312" w:cs="Times New Roman"/>
                <w:bCs/>
                <w:color w:val="auto"/>
                <w:kern w:val="0"/>
                <w:sz w:val="24"/>
                <w:szCs w:val="24"/>
                <w:highlight w:val="none"/>
                <w:lang w:val="en-US" w:eastAsia="zh-CN"/>
              </w:rPr>
              <w:t>内容</w:t>
            </w:r>
            <w:r>
              <w:rPr>
                <w:rFonts w:hint="default" w:ascii="Times New Roman" w:hAnsi="Times New Roman" w:eastAsia="仿宋_GB2312" w:cs="Times New Roman"/>
                <w:bCs/>
                <w:color w:val="auto"/>
                <w:kern w:val="0"/>
                <w:sz w:val="24"/>
                <w:szCs w:val="24"/>
                <w:highlight w:val="none"/>
                <w:lang w:val="en-US" w:eastAsia="zh-CN"/>
              </w:rPr>
              <w:t>（如适用）；</w:t>
            </w:r>
          </w:p>
          <w:p w14:paraId="4B897A0D">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w:t>
            </w:r>
            <w:r>
              <w:rPr>
                <w:rFonts w:hint="default" w:ascii="Times New Roman" w:hAnsi="Times New Roman" w:eastAsia="仿宋_GB2312" w:cs="Times New Roman"/>
                <w:bCs/>
                <w:color w:val="auto"/>
                <w:kern w:val="0"/>
                <w:sz w:val="24"/>
                <w:szCs w:val="24"/>
                <w:highlight w:val="none"/>
                <w:lang w:val="en-US" w:eastAsia="zh-CN"/>
              </w:rPr>
              <w:t>5</w:t>
            </w:r>
            <w:r>
              <w:rPr>
                <w:rFonts w:hint="default" w:ascii="Times New Roman" w:hAnsi="Times New Roman" w:eastAsia="仿宋_GB2312" w:cs="Times New Roman"/>
                <w:bCs/>
                <w:color w:val="auto"/>
                <w:kern w:val="0"/>
                <w:sz w:val="24"/>
                <w:szCs w:val="24"/>
                <w:highlight w:val="none"/>
              </w:rPr>
              <w:t>）置出资产情况、估值及作价的公允性（如适用）；</w:t>
            </w:r>
          </w:p>
          <w:p w14:paraId="30B83882">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w:t>
            </w:r>
            <w:r>
              <w:rPr>
                <w:rFonts w:hint="default" w:ascii="Times New Roman" w:hAnsi="Times New Roman" w:eastAsia="仿宋_GB2312" w:cs="Times New Roman"/>
                <w:bCs/>
                <w:color w:val="auto"/>
                <w:kern w:val="0"/>
                <w:sz w:val="24"/>
                <w:szCs w:val="24"/>
                <w:highlight w:val="none"/>
                <w:lang w:val="en-US" w:eastAsia="zh-CN"/>
              </w:rPr>
              <w:t>6</w:t>
            </w:r>
            <w:r>
              <w:rPr>
                <w:rFonts w:hint="default" w:ascii="Times New Roman" w:hAnsi="Times New Roman" w:eastAsia="仿宋_GB2312" w:cs="Times New Roman"/>
                <w:bCs/>
                <w:color w:val="auto"/>
                <w:kern w:val="0"/>
                <w:sz w:val="24"/>
                <w:szCs w:val="24"/>
                <w:highlight w:val="none"/>
              </w:rPr>
              <w:t>）《公开发行证券的公司信息披露内容与格式准则第26号——上市公司重大资产重组》（以下简称《26号格式准则》）</w:t>
            </w:r>
            <w:r>
              <w:rPr>
                <w:rFonts w:hint="default" w:ascii="Times New Roman" w:hAnsi="Times New Roman" w:eastAsia="仿宋_GB2312" w:cs="Times New Roman"/>
                <w:bCs/>
                <w:color w:val="auto"/>
                <w:kern w:val="0"/>
                <w:sz w:val="24"/>
                <w:szCs w:val="24"/>
                <w:highlight w:val="none"/>
                <w:lang w:eastAsia="zh-CN"/>
              </w:rPr>
              <w:t>第三章</w:t>
            </w:r>
            <w:r>
              <w:rPr>
                <w:rFonts w:hint="default" w:ascii="Times New Roman" w:hAnsi="Times New Roman" w:eastAsia="仿宋_GB2312" w:cs="Times New Roman"/>
                <w:bCs/>
                <w:color w:val="auto"/>
                <w:kern w:val="0"/>
                <w:sz w:val="24"/>
                <w:szCs w:val="24"/>
                <w:highlight w:val="none"/>
              </w:rPr>
              <w:t>第十六节、第十七节规定的其他披露信息。</w:t>
            </w:r>
          </w:p>
        </w:tc>
        <w:tc>
          <w:tcPr>
            <w:tcW w:w="5158" w:type="dxa"/>
            <w:shd w:val="clear" w:color="auto" w:fill="auto"/>
            <w:vAlign w:val="top"/>
          </w:tcPr>
          <w:p w14:paraId="71159610">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独立财务顾问应对以下事项进行核查，并在《独立财务顾问报告》中发表明确核查意见：</w:t>
            </w:r>
          </w:p>
          <w:p w14:paraId="52D91CDA">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（1）上市公司发行股份购买资产的，核查发行价格是否符合《重组办法》第四十</w:t>
            </w:r>
            <w:r>
              <w:rPr>
                <w:rFonts w:hint="default" w:ascii="Times New Roman" w:hAnsi="Times New Roman" w:eastAsia="仿宋_GB2312" w:cs="Times New Roman"/>
                <w:bCs/>
                <w:color w:val="auto"/>
                <w:kern w:val="0"/>
                <w:sz w:val="24"/>
                <w:szCs w:val="24"/>
                <w:highlight w:val="none"/>
                <w:lang w:eastAsia="zh-CN"/>
              </w:rPr>
              <w:t>六</w:t>
            </w:r>
            <w:r>
              <w:rPr>
                <w:rFonts w:hint="default" w:ascii="Times New Roman" w:hAnsi="Times New Roman" w:eastAsia="仿宋_GB2312" w:cs="Times New Roman"/>
                <w:bCs/>
                <w:color w:val="auto"/>
                <w:kern w:val="0"/>
                <w:sz w:val="24"/>
                <w:szCs w:val="24"/>
                <w:highlight w:val="none"/>
              </w:rPr>
              <w:t>条的规定，价格调整机制是否符合《〈上市公司重大资产重组管理办法〉第二十九条、第四十五条的适用意见——证券期货法律适用意见第15号》（以下简称《证券期货法律适用意见第15号》）的相关要求；</w:t>
            </w:r>
          </w:p>
          <w:p w14:paraId="029C72A7">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（2）上市公司通过发行优先股、定向权证、存托凭证等购买资产的，核查发行价格等安排是否符合《优先股试点管理办法》等相关规定；</w:t>
            </w:r>
          </w:p>
          <w:p w14:paraId="501406AB">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（3）涉及现金支付的，核查上市公司是否具有相应的支付能力。资金主要来自借款的，核查具体借款安排及可实现性，相关财务成本对上市公司生产经营的影响；</w:t>
            </w:r>
          </w:p>
          <w:p w14:paraId="6A10D01F">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w:t>
            </w:r>
            <w:r>
              <w:rPr>
                <w:rFonts w:hint="eastAsia" w:ascii="Times New Roman" w:hAnsi="Times New Roman" w:eastAsia="仿宋_GB2312" w:cs="Times New Roman"/>
                <w:bCs/>
                <w:color w:val="auto"/>
                <w:kern w:val="0"/>
                <w:sz w:val="24"/>
                <w:szCs w:val="24"/>
                <w:highlight w:val="none"/>
                <w:lang w:val="en-US" w:eastAsia="zh-CN"/>
              </w:rPr>
              <w:t>4</w:t>
            </w:r>
            <w:r>
              <w:rPr>
                <w:rFonts w:hint="default" w:ascii="Times New Roman" w:hAnsi="Times New Roman" w:eastAsia="仿宋_GB2312" w:cs="Times New Roman"/>
                <w:bCs/>
                <w:color w:val="auto"/>
                <w:kern w:val="0"/>
                <w:sz w:val="24"/>
                <w:szCs w:val="24"/>
                <w:highlight w:val="none"/>
              </w:rPr>
              <w:t>）涉及资产置出的，核查置出资产的原因及影响，估值及作价公允性；</w:t>
            </w:r>
          </w:p>
          <w:p w14:paraId="61EB6FA0">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w:t>
            </w:r>
            <w:r>
              <w:rPr>
                <w:rFonts w:hint="eastAsia" w:ascii="Times New Roman" w:hAnsi="Times New Roman" w:eastAsia="仿宋_GB2312" w:cs="Times New Roman"/>
                <w:bCs/>
                <w:color w:val="auto"/>
                <w:kern w:val="0"/>
                <w:sz w:val="24"/>
                <w:szCs w:val="24"/>
                <w:highlight w:val="none"/>
                <w:lang w:val="en-US" w:eastAsia="zh-CN"/>
              </w:rPr>
              <w:t>5</w:t>
            </w:r>
            <w:r>
              <w:rPr>
                <w:rFonts w:hint="default" w:ascii="Times New Roman" w:hAnsi="Times New Roman" w:eastAsia="仿宋_GB2312" w:cs="Times New Roman"/>
                <w:bCs/>
                <w:color w:val="auto"/>
                <w:kern w:val="0"/>
                <w:sz w:val="24"/>
                <w:szCs w:val="24"/>
                <w:highlight w:val="none"/>
              </w:rPr>
              <w:t>）相关信息披露是否符合《26号格式准则》</w:t>
            </w:r>
            <w:r>
              <w:rPr>
                <w:rFonts w:hint="default" w:ascii="Times New Roman" w:hAnsi="Times New Roman" w:eastAsia="仿宋_GB2312" w:cs="Times New Roman"/>
                <w:bCs/>
                <w:color w:val="auto"/>
                <w:kern w:val="0"/>
                <w:sz w:val="24"/>
                <w:szCs w:val="24"/>
                <w:highlight w:val="none"/>
                <w:lang w:eastAsia="zh-CN"/>
              </w:rPr>
              <w:t>第三章</w:t>
            </w:r>
            <w:r>
              <w:rPr>
                <w:rFonts w:hint="default" w:ascii="Times New Roman" w:hAnsi="Times New Roman" w:eastAsia="仿宋_GB2312" w:cs="Times New Roman"/>
                <w:bCs/>
                <w:color w:val="auto"/>
                <w:kern w:val="0"/>
                <w:sz w:val="24"/>
                <w:szCs w:val="24"/>
                <w:highlight w:val="none"/>
              </w:rPr>
              <w:t>第十六节、第十七节的规定。</w:t>
            </w:r>
          </w:p>
          <w:p w14:paraId="599589BD">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律师应对上述事项进行核查，并发表明确核查意见。评估师应对（</w:t>
            </w:r>
            <w:r>
              <w:rPr>
                <w:rFonts w:hint="eastAsia" w:ascii="Times New Roman" w:hAnsi="Times New Roman" w:eastAsia="仿宋_GB2312" w:cs="Times New Roman"/>
                <w:bCs/>
                <w:color w:val="auto"/>
                <w:kern w:val="0"/>
                <w:sz w:val="24"/>
                <w:szCs w:val="24"/>
                <w:highlight w:val="none"/>
                <w:lang w:val="en-US" w:eastAsia="zh-CN"/>
              </w:rPr>
              <w:t>4</w:t>
            </w:r>
            <w:r>
              <w:rPr>
                <w:rFonts w:hint="default" w:ascii="Times New Roman" w:hAnsi="Times New Roman" w:eastAsia="仿宋_GB2312" w:cs="Times New Roman"/>
                <w:bCs/>
                <w:color w:val="auto"/>
                <w:kern w:val="0"/>
                <w:sz w:val="24"/>
                <w:szCs w:val="24"/>
                <w:highlight w:val="none"/>
              </w:rPr>
              <w:t>）进行核查，并发表明确核查意见。</w:t>
            </w:r>
          </w:p>
        </w:tc>
        <w:tc>
          <w:tcPr>
            <w:tcW w:w="1738" w:type="dxa"/>
            <w:shd w:val="clear" w:color="auto" w:fill="auto"/>
            <w:vAlign w:val="top"/>
          </w:tcPr>
          <w:p w14:paraId="0EB2D047">
            <w:pP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《重组办法》</w:t>
            </w:r>
            <w:r>
              <w:rPr>
                <w:rFonts w:hint="default" w:ascii="Times New Roman" w:hAnsi="Times New Roman" w:eastAsia="仿宋_GB2312" w:cs="Times New Roman"/>
                <w:color w:val="auto"/>
                <w:sz w:val="24"/>
                <w:szCs w:val="24"/>
                <w:highlight w:val="none"/>
                <w:lang w:val="en-US" w:eastAsia="zh-CN"/>
              </w:rPr>
              <w:t>第三十三条</w:t>
            </w:r>
            <w:r>
              <w:rPr>
                <w:rFonts w:hint="default" w:ascii="Times New Roman" w:hAnsi="Times New Roman" w:eastAsia="仿宋_GB2312" w:cs="Times New Roman"/>
                <w:bCs/>
                <w:color w:val="auto"/>
                <w:kern w:val="0"/>
                <w:sz w:val="24"/>
                <w:szCs w:val="24"/>
                <w:highlight w:val="none"/>
                <w:lang w:eastAsia="zh-CN"/>
              </w:rPr>
              <w:t>、</w:t>
            </w:r>
            <w:r>
              <w:rPr>
                <w:rFonts w:hint="default" w:ascii="Times New Roman" w:hAnsi="Times New Roman" w:eastAsia="仿宋_GB2312" w:cs="Times New Roman"/>
                <w:color w:val="auto"/>
                <w:sz w:val="24"/>
                <w:szCs w:val="24"/>
                <w:highlight w:val="none"/>
              </w:rPr>
              <w:t>第四十</w:t>
            </w:r>
            <w:r>
              <w:rPr>
                <w:rFonts w:hint="default" w:ascii="Times New Roman" w:hAnsi="Times New Roman" w:eastAsia="仿宋_GB2312" w:cs="Times New Roman"/>
                <w:color w:val="auto"/>
                <w:sz w:val="24"/>
                <w:szCs w:val="24"/>
                <w:highlight w:val="none"/>
                <w:lang w:eastAsia="zh-CN"/>
              </w:rPr>
              <w:t>六</w:t>
            </w:r>
            <w:r>
              <w:rPr>
                <w:rFonts w:hint="default" w:ascii="Times New Roman" w:hAnsi="Times New Roman" w:eastAsia="仿宋_GB2312" w:cs="Times New Roman"/>
                <w:color w:val="auto"/>
                <w:sz w:val="24"/>
                <w:szCs w:val="24"/>
                <w:highlight w:val="none"/>
              </w:rPr>
              <w:t>条</w:t>
            </w:r>
            <w:r>
              <w:rPr>
                <w:rFonts w:hint="default" w:ascii="Times New Roman" w:hAnsi="Times New Roman" w:eastAsia="仿宋_GB2312" w:cs="Times New Roman"/>
                <w:color w:val="auto"/>
                <w:sz w:val="24"/>
                <w:szCs w:val="24"/>
                <w:highlight w:val="none"/>
                <w:lang w:eastAsia="zh-CN"/>
              </w:rPr>
              <w:t>、第五十条</w:t>
            </w:r>
            <w:r>
              <w:rPr>
                <w:rFonts w:hint="default" w:ascii="Times New Roman" w:hAnsi="Times New Roman" w:eastAsia="仿宋_GB2312" w:cs="Times New Roman"/>
                <w:color w:val="auto"/>
                <w:sz w:val="24"/>
                <w:szCs w:val="24"/>
                <w:highlight w:val="none"/>
              </w:rPr>
              <w:t>，《证券期货法律适用意见第15号》，《26号格式准则》</w:t>
            </w:r>
            <w:r>
              <w:rPr>
                <w:rFonts w:hint="default" w:ascii="Times New Roman" w:hAnsi="Times New Roman" w:eastAsia="仿宋_GB2312" w:cs="Times New Roman"/>
                <w:bCs/>
                <w:color w:val="auto"/>
                <w:kern w:val="0"/>
                <w:sz w:val="24"/>
                <w:szCs w:val="24"/>
                <w:highlight w:val="none"/>
                <w:lang w:eastAsia="zh-CN"/>
              </w:rPr>
              <w:t>第三章</w:t>
            </w:r>
            <w:r>
              <w:rPr>
                <w:rFonts w:hint="default" w:ascii="Times New Roman" w:hAnsi="Times New Roman" w:eastAsia="仿宋_GB2312" w:cs="Times New Roman"/>
                <w:color w:val="auto"/>
                <w:sz w:val="24"/>
                <w:szCs w:val="24"/>
                <w:highlight w:val="none"/>
              </w:rPr>
              <w:t>第十六节、第十七节</w:t>
            </w:r>
            <w:r>
              <w:rPr>
                <w:rFonts w:hint="default" w:ascii="Times New Roman" w:hAnsi="Times New Roman" w:eastAsia="仿宋_GB2312" w:cs="Times New Roman"/>
                <w:color w:val="auto"/>
                <w:sz w:val="24"/>
                <w:szCs w:val="24"/>
                <w:highlight w:val="none"/>
                <w:lang w:eastAsia="zh-CN"/>
              </w:rPr>
              <w:t>，《优先股试点管理办法》</w:t>
            </w:r>
          </w:p>
        </w:tc>
      </w:tr>
      <w:tr w14:paraId="17E8D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291" w:type="pct"/>
            <w:shd w:val="clear" w:color="auto" w:fill="auto"/>
            <w:vAlign w:val="center"/>
          </w:tcPr>
          <w:p w14:paraId="0BCF7F71">
            <w:pPr>
              <w:jc w:val="center"/>
              <w:rPr>
                <w:rFonts w:hint="default" w:ascii="Times New Roman" w:hAnsi="Times New Roman" w:eastAsia="仿宋_GB2312" w:cs="Times New Roman"/>
                <w:b/>
                <w:bCs/>
                <w:color w:val="auto"/>
                <w:kern w:val="0"/>
                <w:sz w:val="24"/>
                <w:szCs w:val="24"/>
                <w:highlight w:val="none"/>
                <w:lang w:val="en-US" w:eastAsia="zh-CN" w:bidi="ar-SA"/>
              </w:rPr>
            </w:pPr>
            <w:r>
              <w:rPr>
                <w:rFonts w:hint="default" w:ascii="Times New Roman" w:hAnsi="Times New Roman" w:eastAsia="仿宋_GB2312" w:cs="Times New Roman"/>
                <w:b/>
                <w:bCs/>
                <w:color w:val="auto"/>
                <w:kern w:val="0"/>
                <w:sz w:val="24"/>
                <w:szCs w:val="24"/>
                <w:highlight w:val="none"/>
              </w:rPr>
              <w:t>1-3</w:t>
            </w:r>
          </w:p>
        </w:tc>
        <w:tc>
          <w:tcPr>
            <w:tcW w:w="499" w:type="pct"/>
            <w:shd w:val="clear" w:color="auto" w:fill="auto"/>
            <w:vAlign w:val="center"/>
          </w:tcPr>
          <w:p w14:paraId="16B64374">
            <w:pPr>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sz w:val="24"/>
                <w:szCs w:val="24"/>
                <w:highlight w:val="none"/>
              </w:rPr>
              <w:t>发行定向可转债购买资产</w:t>
            </w:r>
          </w:p>
        </w:tc>
        <w:tc>
          <w:tcPr>
            <w:tcW w:w="4898" w:type="dxa"/>
            <w:shd w:val="clear" w:color="auto" w:fill="auto"/>
            <w:vAlign w:val="top"/>
          </w:tcPr>
          <w:p w14:paraId="1D4094E0">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上市公司应当在重组报告书中披露《上市公司向特定对象发行可转换公司债券购买资产规则》第四条规定的定向可转债发行条件相关情况：</w:t>
            </w:r>
          </w:p>
          <w:p w14:paraId="7FBDBC7F">
            <w:pPr>
              <w:numPr>
                <w:ilvl w:val="0"/>
                <w:numId w:val="1"/>
              </w:num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符合《重组办法》第十一条、第四十三条</w:t>
            </w:r>
            <w:r>
              <w:rPr>
                <w:rFonts w:hint="default" w:ascii="Times New Roman" w:hAnsi="Times New Roman" w:eastAsia="仿宋_GB2312" w:cs="Times New Roman"/>
                <w:bCs/>
                <w:color w:val="auto"/>
                <w:kern w:val="0"/>
                <w:sz w:val="24"/>
                <w:szCs w:val="24"/>
                <w:highlight w:val="none"/>
                <w:lang w:eastAsia="zh-CN"/>
              </w:rPr>
              <w:t>、第四十四条</w:t>
            </w:r>
            <w:r>
              <w:rPr>
                <w:rFonts w:hint="default" w:ascii="Times New Roman" w:hAnsi="Times New Roman" w:eastAsia="仿宋_GB2312" w:cs="Times New Roman"/>
                <w:bCs/>
                <w:color w:val="auto"/>
                <w:kern w:val="0"/>
                <w:sz w:val="24"/>
                <w:szCs w:val="24"/>
                <w:highlight w:val="none"/>
              </w:rPr>
              <w:t>的规定，构成重组上市的，符合《重组办法》第十三条的规定；</w:t>
            </w:r>
          </w:p>
          <w:p w14:paraId="4980B3B2">
            <w:pPr>
              <w:numPr>
                <w:ilvl w:val="0"/>
                <w:numId w:val="1"/>
              </w:num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符合《上市公司证券发行注册管理办法》（以下简称</w:t>
            </w:r>
            <w:r>
              <w:rPr>
                <w:rFonts w:hint="default" w:ascii="Times New Roman" w:hAnsi="Times New Roman" w:eastAsia="仿宋_GB2312" w:cs="Times New Roman"/>
                <w:bCs/>
                <w:color w:val="auto"/>
                <w:kern w:val="0"/>
                <w:sz w:val="24"/>
                <w:szCs w:val="24"/>
                <w:highlight w:val="none"/>
                <w:lang w:eastAsia="zh-CN"/>
              </w:rPr>
              <w:t>《再融资办法》</w:t>
            </w:r>
            <w:r>
              <w:rPr>
                <w:rFonts w:hint="default" w:ascii="Times New Roman" w:hAnsi="Times New Roman" w:eastAsia="仿宋_GB2312" w:cs="Times New Roman"/>
                <w:bCs/>
                <w:color w:val="auto"/>
                <w:kern w:val="0"/>
                <w:sz w:val="24"/>
                <w:szCs w:val="24"/>
                <w:highlight w:val="none"/>
              </w:rPr>
              <w:t>）第十三条第一款第一项至第三项的规定，且不存在</w:t>
            </w:r>
            <w:r>
              <w:rPr>
                <w:rFonts w:hint="default" w:ascii="Times New Roman" w:hAnsi="Times New Roman" w:eastAsia="仿宋_GB2312" w:cs="Times New Roman"/>
                <w:bCs/>
                <w:color w:val="auto"/>
                <w:kern w:val="0"/>
                <w:sz w:val="24"/>
                <w:szCs w:val="24"/>
                <w:highlight w:val="none"/>
                <w:lang w:eastAsia="zh-CN"/>
              </w:rPr>
              <w:t>《再融资办法》</w:t>
            </w:r>
            <w:r>
              <w:rPr>
                <w:rFonts w:hint="default" w:ascii="Times New Roman" w:hAnsi="Times New Roman" w:eastAsia="仿宋_GB2312" w:cs="Times New Roman"/>
                <w:bCs/>
                <w:color w:val="auto"/>
                <w:kern w:val="0"/>
                <w:sz w:val="24"/>
                <w:szCs w:val="24"/>
                <w:highlight w:val="none"/>
              </w:rPr>
              <w:t>第十四条规定的情形；</w:t>
            </w:r>
          </w:p>
          <w:p w14:paraId="34CD4D10">
            <w:pPr>
              <w:numPr>
                <w:ilvl w:val="0"/>
                <w:numId w:val="1"/>
              </w:num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不存在</w:t>
            </w:r>
            <w:r>
              <w:rPr>
                <w:rFonts w:hint="default" w:ascii="Times New Roman" w:hAnsi="Times New Roman" w:eastAsia="仿宋_GB2312" w:cs="Times New Roman"/>
                <w:bCs/>
                <w:color w:val="auto"/>
                <w:kern w:val="0"/>
                <w:sz w:val="24"/>
                <w:szCs w:val="24"/>
                <w:highlight w:val="none"/>
                <w:lang w:eastAsia="zh-CN"/>
              </w:rPr>
              <w:t>《再融资办法》</w:t>
            </w:r>
            <w:r>
              <w:rPr>
                <w:rFonts w:hint="default" w:ascii="Times New Roman" w:hAnsi="Times New Roman" w:eastAsia="仿宋_GB2312" w:cs="Times New Roman"/>
                <w:bCs/>
                <w:color w:val="auto"/>
                <w:kern w:val="0"/>
                <w:sz w:val="24"/>
                <w:szCs w:val="24"/>
                <w:highlight w:val="none"/>
              </w:rPr>
              <w:t>第十一条第一项、第三项、第五项、第六项规定的情形</w:t>
            </w:r>
            <w:r>
              <w:rPr>
                <w:rFonts w:hint="eastAsia" w:ascii="Times New Roman" w:hAnsi="Times New Roman" w:eastAsia="仿宋_GB2312" w:cs="Times New Roman"/>
                <w:bCs/>
                <w:color w:val="auto"/>
                <w:kern w:val="0"/>
                <w:sz w:val="24"/>
                <w:szCs w:val="24"/>
                <w:highlight w:val="none"/>
                <w:lang w:eastAsia="zh-CN"/>
              </w:rPr>
              <w:t>；</w:t>
            </w:r>
          </w:p>
          <w:p w14:paraId="11280F88">
            <w:pPr>
              <w:numPr>
                <w:ilvl w:val="0"/>
                <w:numId w:val="1"/>
              </w:num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上市公司通过收购本公司股份的方式进行公司债券转换的，</w:t>
            </w:r>
            <w:r>
              <w:rPr>
                <w:rFonts w:hint="default" w:ascii="Times New Roman" w:hAnsi="Times New Roman" w:eastAsia="仿宋_GB2312" w:cs="Times New Roman"/>
                <w:bCs/>
                <w:color w:val="auto"/>
                <w:kern w:val="0"/>
                <w:sz w:val="24"/>
                <w:szCs w:val="24"/>
                <w:highlight w:val="none"/>
                <w:lang w:eastAsia="zh-CN"/>
              </w:rPr>
              <w:t>不适用</w:t>
            </w:r>
            <w:r>
              <w:rPr>
                <w:rFonts w:hint="default" w:ascii="Times New Roman" w:hAnsi="Times New Roman" w:eastAsia="仿宋_GB2312" w:cs="Times New Roman"/>
                <w:bCs/>
                <w:color w:val="auto"/>
                <w:kern w:val="0"/>
                <w:sz w:val="24"/>
                <w:szCs w:val="24"/>
                <w:highlight w:val="none"/>
              </w:rPr>
              <w:t>《重组办法》第四十三条</w:t>
            </w:r>
            <w:r>
              <w:rPr>
                <w:rFonts w:hint="default" w:ascii="Times New Roman" w:hAnsi="Times New Roman" w:eastAsia="仿宋_GB2312" w:cs="Times New Roman"/>
                <w:bCs/>
                <w:color w:val="auto"/>
                <w:kern w:val="0"/>
                <w:sz w:val="24"/>
                <w:szCs w:val="24"/>
                <w:highlight w:val="none"/>
                <w:lang w:eastAsia="zh-CN"/>
              </w:rPr>
              <w:t>、第四十四条</w:t>
            </w:r>
            <w:r>
              <w:rPr>
                <w:rFonts w:hint="default" w:ascii="Times New Roman" w:hAnsi="Times New Roman" w:eastAsia="仿宋_GB2312" w:cs="Times New Roman"/>
                <w:bCs/>
                <w:color w:val="auto"/>
                <w:kern w:val="0"/>
                <w:sz w:val="24"/>
                <w:szCs w:val="24"/>
                <w:highlight w:val="none"/>
              </w:rPr>
              <w:t>以及</w:t>
            </w:r>
            <w:r>
              <w:rPr>
                <w:rFonts w:hint="default" w:ascii="Times New Roman" w:hAnsi="Times New Roman" w:eastAsia="仿宋_GB2312" w:cs="Times New Roman"/>
                <w:bCs/>
                <w:color w:val="auto"/>
                <w:kern w:val="0"/>
                <w:sz w:val="24"/>
                <w:szCs w:val="24"/>
                <w:highlight w:val="none"/>
                <w:lang w:eastAsia="zh-CN"/>
              </w:rPr>
              <w:t>《再融资办法》</w:t>
            </w:r>
            <w:r>
              <w:rPr>
                <w:rFonts w:hint="default" w:ascii="Times New Roman" w:hAnsi="Times New Roman" w:eastAsia="仿宋_GB2312" w:cs="Times New Roman"/>
                <w:bCs/>
                <w:color w:val="auto"/>
                <w:kern w:val="0"/>
                <w:sz w:val="24"/>
                <w:szCs w:val="24"/>
                <w:highlight w:val="none"/>
              </w:rPr>
              <w:t>第十一条第一项、第三项、第五项、第六项规定</w:t>
            </w:r>
            <w:r>
              <w:rPr>
                <w:rFonts w:hint="default" w:ascii="Times New Roman" w:hAnsi="Times New Roman" w:eastAsia="仿宋_GB2312" w:cs="Times New Roman"/>
                <w:bCs/>
                <w:color w:val="auto"/>
                <w:kern w:val="0"/>
                <w:sz w:val="24"/>
                <w:szCs w:val="24"/>
                <w:highlight w:val="none"/>
                <w:lang w:eastAsia="zh-CN"/>
              </w:rPr>
              <w:t>，无需披露（</w:t>
            </w:r>
            <w:r>
              <w:rPr>
                <w:rFonts w:hint="default" w:ascii="Times New Roman" w:hAnsi="Times New Roman" w:eastAsia="仿宋_GB2312" w:cs="Times New Roman"/>
                <w:bCs/>
                <w:color w:val="auto"/>
                <w:kern w:val="0"/>
                <w:sz w:val="24"/>
                <w:szCs w:val="24"/>
                <w:highlight w:val="none"/>
                <w:lang w:val="en-US" w:eastAsia="zh-CN"/>
              </w:rPr>
              <w:t>1</w:t>
            </w:r>
            <w:r>
              <w:rPr>
                <w:rFonts w:hint="default" w:ascii="Times New Roman" w:hAnsi="Times New Roman" w:eastAsia="仿宋_GB2312" w:cs="Times New Roman"/>
                <w:bCs/>
                <w:color w:val="auto"/>
                <w:kern w:val="0"/>
                <w:sz w:val="24"/>
                <w:szCs w:val="24"/>
                <w:highlight w:val="none"/>
                <w:lang w:eastAsia="zh-CN"/>
              </w:rPr>
              <w:t>）</w:t>
            </w:r>
            <w:r>
              <w:rPr>
                <w:rFonts w:hint="default" w:ascii="Times New Roman" w:hAnsi="Times New Roman" w:eastAsia="仿宋_GB2312" w:cs="Times New Roman"/>
                <w:bCs/>
                <w:color w:val="auto"/>
                <w:kern w:val="0"/>
                <w:sz w:val="24"/>
                <w:szCs w:val="24"/>
                <w:highlight w:val="none"/>
                <w:lang w:val="en-US" w:eastAsia="zh-CN"/>
              </w:rPr>
              <w:t>-（3）相关内容。</w:t>
            </w:r>
          </w:p>
          <w:p w14:paraId="1DC5A02D">
            <w:pPr>
              <w:numPr>
                <w:ilvl w:val="0"/>
                <w:numId w:val="0"/>
              </w:num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上市公司应当在重组报告书中披露：</w:t>
            </w:r>
          </w:p>
          <w:p w14:paraId="7921F9C8">
            <w:pPr>
              <w:numPr>
                <w:ilvl w:val="0"/>
                <w:numId w:val="2"/>
              </w:numPr>
              <w:ind w:firstLine="480" w:firstLineChars="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定向可转债的发行对象、发行数量、债券期限、债券利率、还本付息的期限和方式、转股价格及转股价格调整方案、转股股份来源、转股期、锁定期、转股后股份锁定期等</w:t>
            </w:r>
            <w:r>
              <w:rPr>
                <w:rFonts w:hint="eastAsia" w:ascii="Times New Roman" w:hAnsi="Times New Roman" w:eastAsia="仿宋_GB2312" w:cs="Times New Roman"/>
                <w:bCs/>
                <w:color w:val="auto"/>
                <w:kern w:val="0"/>
                <w:sz w:val="24"/>
                <w:szCs w:val="24"/>
                <w:highlight w:val="none"/>
                <w:lang w:eastAsia="zh-CN"/>
              </w:rPr>
              <w:t>；</w:t>
            </w:r>
          </w:p>
          <w:p w14:paraId="4D9B134D">
            <w:pPr>
              <w:numPr>
                <w:ilvl w:val="0"/>
                <w:numId w:val="2"/>
              </w:numPr>
              <w:ind w:firstLine="480" w:firstLineChars="200"/>
              <w:rPr>
                <w:rFonts w:hint="default" w:ascii="Times New Roman" w:hAnsi="Times New Roman" w:eastAsia="仿宋_GB2312" w:cs="Times New Roman"/>
                <w:bCs/>
                <w:color w:val="auto"/>
                <w:kern w:val="0"/>
                <w:sz w:val="24"/>
                <w:szCs w:val="24"/>
                <w:highlight w:val="none"/>
                <w:lang w:val="en-US" w:eastAsia="zh-CN" w:bidi="ar-SA"/>
              </w:rPr>
            </w:pPr>
            <w:r>
              <w:rPr>
                <w:rFonts w:hint="default" w:ascii="Times New Roman" w:hAnsi="Times New Roman" w:eastAsia="仿宋_GB2312" w:cs="Times New Roman"/>
                <w:bCs/>
                <w:color w:val="auto"/>
                <w:kern w:val="0"/>
                <w:sz w:val="24"/>
                <w:szCs w:val="24"/>
                <w:highlight w:val="none"/>
              </w:rPr>
              <w:t>赎回条款、回售条款、转股价格向上修正条款（如有）。</w:t>
            </w:r>
          </w:p>
        </w:tc>
        <w:tc>
          <w:tcPr>
            <w:tcW w:w="5158" w:type="dxa"/>
            <w:shd w:val="clear" w:color="auto" w:fill="auto"/>
            <w:vAlign w:val="top"/>
          </w:tcPr>
          <w:p w14:paraId="31622902">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独立财务顾问应对以下事项进行核查，并在《独立财务顾问报告》中发表明确核查意见：</w:t>
            </w:r>
          </w:p>
          <w:p w14:paraId="441BD142">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（1）上市公司是否符合《上市公司向特定对象发行可转换公司债券购买资产规则》第四条规定的定向可转债发行条件；</w:t>
            </w:r>
          </w:p>
          <w:p w14:paraId="2C6A67AD">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（2）定向可转债转股价格及转股价格调整方案、存续期、锁定期、转股后股份锁定期等是否符合</w:t>
            </w:r>
            <w:r>
              <w:rPr>
                <w:rFonts w:hint="default" w:ascii="Times New Roman" w:hAnsi="Times New Roman" w:eastAsia="仿宋_GB2312" w:cs="Times New Roman"/>
                <w:color w:val="auto"/>
                <w:sz w:val="24"/>
                <w:szCs w:val="24"/>
                <w:highlight w:val="none"/>
              </w:rPr>
              <w:t>《可转换公司债券管理办法》</w:t>
            </w:r>
            <w:r>
              <w:rPr>
                <w:rFonts w:hint="default" w:ascii="Times New Roman" w:hAnsi="Times New Roman" w:eastAsia="仿宋_GB2312" w:cs="Times New Roman"/>
                <w:bCs/>
                <w:color w:val="auto"/>
                <w:kern w:val="0"/>
                <w:sz w:val="24"/>
                <w:szCs w:val="24"/>
                <w:highlight w:val="none"/>
              </w:rPr>
              <w:t>《上市公司向特定对象发行可转换公司债券购买资产规则》等规定；</w:t>
            </w:r>
          </w:p>
          <w:p w14:paraId="048855D1">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（3）定向可转债赎回条款、回售条款、转股价格向上修正条款（如有）是否符合</w:t>
            </w:r>
            <w:r>
              <w:rPr>
                <w:rFonts w:hint="default" w:ascii="Times New Roman" w:hAnsi="Times New Roman" w:eastAsia="仿宋_GB2312" w:cs="Times New Roman"/>
                <w:color w:val="auto"/>
                <w:sz w:val="24"/>
                <w:szCs w:val="24"/>
                <w:highlight w:val="none"/>
              </w:rPr>
              <w:t>《可转换公司债券管理办法》</w:t>
            </w:r>
            <w:r>
              <w:rPr>
                <w:rFonts w:hint="default" w:ascii="Times New Roman" w:hAnsi="Times New Roman" w:eastAsia="仿宋_GB2312" w:cs="Times New Roman"/>
                <w:bCs/>
                <w:color w:val="auto"/>
                <w:kern w:val="0"/>
                <w:sz w:val="24"/>
                <w:szCs w:val="24"/>
                <w:highlight w:val="none"/>
              </w:rPr>
              <w:t>《上市公司向特定对象发行可转换公司债券购买资产规则》等规定。</w:t>
            </w:r>
          </w:p>
          <w:p w14:paraId="4D296720">
            <w:pPr>
              <w:ind w:firstLine="480" w:firstLineChars="200"/>
              <w:rPr>
                <w:rFonts w:hint="default" w:ascii="Times New Roman" w:hAnsi="Times New Roman" w:eastAsia="仿宋_GB2312" w:cs="Times New Roman"/>
                <w:bCs/>
                <w:color w:val="auto"/>
                <w:kern w:val="0"/>
                <w:sz w:val="24"/>
                <w:szCs w:val="24"/>
                <w:highlight w:val="none"/>
                <w:lang w:val="en-US" w:eastAsia="zh-CN" w:bidi="ar-SA"/>
              </w:rPr>
            </w:pPr>
            <w:r>
              <w:rPr>
                <w:rFonts w:hint="default" w:ascii="Times New Roman" w:hAnsi="Times New Roman" w:eastAsia="仿宋_GB2312" w:cs="Times New Roman"/>
                <w:bCs/>
                <w:color w:val="auto"/>
                <w:kern w:val="0"/>
                <w:sz w:val="24"/>
                <w:szCs w:val="24"/>
                <w:highlight w:val="none"/>
              </w:rPr>
              <w:t>律师应对上述事项进行核查，并发表明确核查意见。</w:t>
            </w:r>
          </w:p>
        </w:tc>
        <w:tc>
          <w:tcPr>
            <w:tcW w:w="1738" w:type="dxa"/>
            <w:shd w:val="clear" w:color="auto" w:fill="auto"/>
            <w:vAlign w:val="top"/>
          </w:tcPr>
          <w:p w14:paraId="2FA4D5F2">
            <w:pP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《重组办法》第</w:t>
            </w:r>
            <w:r>
              <w:rPr>
                <w:rFonts w:hint="default" w:ascii="Times New Roman" w:hAnsi="Times New Roman" w:eastAsia="仿宋_GB2312" w:cs="Times New Roman"/>
                <w:color w:val="auto"/>
                <w:sz w:val="24"/>
                <w:szCs w:val="24"/>
                <w:highlight w:val="none"/>
                <w:lang w:eastAsia="zh-CN"/>
              </w:rPr>
              <w:t>五十</w:t>
            </w:r>
            <w:r>
              <w:rPr>
                <w:rFonts w:hint="default" w:ascii="Times New Roman" w:hAnsi="Times New Roman" w:eastAsia="仿宋_GB2312" w:cs="Times New Roman"/>
                <w:color w:val="auto"/>
                <w:sz w:val="24"/>
                <w:szCs w:val="24"/>
                <w:highlight w:val="none"/>
              </w:rPr>
              <w:t>条，《可转换公司债券管理办法》第八条、第十条、第十一条，《上市公司向特定对象发行可转换公司债券购买资产规则》，</w:t>
            </w:r>
            <w:r>
              <w:rPr>
                <w:rFonts w:hint="default" w:ascii="Times New Roman" w:hAnsi="Times New Roman" w:eastAsia="仿宋_GB2312" w:cs="Times New Roman"/>
                <w:color w:val="auto"/>
                <w:sz w:val="24"/>
                <w:szCs w:val="24"/>
                <w:highlight w:val="none"/>
                <w:lang w:eastAsia="zh-CN"/>
              </w:rPr>
              <w:t>《再融资办法》</w:t>
            </w:r>
            <w:r>
              <w:rPr>
                <w:rFonts w:hint="default" w:ascii="Times New Roman" w:hAnsi="Times New Roman" w:eastAsia="仿宋_GB2312" w:cs="Times New Roman"/>
                <w:color w:val="auto"/>
                <w:sz w:val="24"/>
                <w:szCs w:val="24"/>
                <w:highlight w:val="none"/>
              </w:rPr>
              <w:t>第十一条、第十四条</w:t>
            </w:r>
          </w:p>
        </w:tc>
      </w:tr>
      <w:tr w14:paraId="11CB8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291" w:type="pct"/>
            <w:shd w:val="clear" w:color="auto" w:fill="auto"/>
            <w:vAlign w:val="center"/>
          </w:tcPr>
          <w:p w14:paraId="5605C5CE">
            <w:pPr>
              <w:jc w:val="center"/>
              <w:rPr>
                <w:rFonts w:hint="default" w:ascii="Times New Roman" w:hAnsi="Times New Roman" w:eastAsia="仿宋_GB2312" w:cs="Times New Roman"/>
                <w:b/>
                <w:bCs/>
                <w:color w:val="auto"/>
                <w:kern w:val="0"/>
                <w:sz w:val="24"/>
                <w:szCs w:val="24"/>
                <w:highlight w:val="none"/>
              </w:rPr>
            </w:pPr>
            <w:r>
              <w:rPr>
                <w:rFonts w:hint="default" w:ascii="Times New Roman" w:hAnsi="Times New Roman" w:eastAsia="仿宋_GB2312" w:cs="Times New Roman"/>
                <w:b/>
                <w:bCs/>
                <w:color w:val="auto"/>
                <w:kern w:val="0"/>
                <w:sz w:val="24"/>
                <w:szCs w:val="24"/>
                <w:highlight w:val="none"/>
              </w:rPr>
              <w:t>1-4</w:t>
            </w:r>
          </w:p>
        </w:tc>
        <w:tc>
          <w:tcPr>
            <w:tcW w:w="499" w:type="pct"/>
            <w:shd w:val="clear" w:color="auto" w:fill="auto"/>
            <w:vAlign w:val="center"/>
          </w:tcPr>
          <w:p w14:paraId="7C53E383">
            <w:pPr>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吸收合并</w:t>
            </w:r>
          </w:p>
        </w:tc>
        <w:tc>
          <w:tcPr>
            <w:tcW w:w="1747" w:type="pct"/>
            <w:shd w:val="clear" w:color="auto" w:fill="auto"/>
          </w:tcPr>
          <w:p w14:paraId="752CA4B7">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上市公司应当在重组报告书中披露：</w:t>
            </w:r>
          </w:p>
          <w:p w14:paraId="08355D86">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lang w:eastAsia="zh-CN"/>
              </w:rPr>
              <w:t>（</w:t>
            </w:r>
            <w:r>
              <w:rPr>
                <w:rFonts w:hint="default" w:ascii="Times New Roman" w:hAnsi="Times New Roman" w:eastAsia="仿宋_GB2312" w:cs="Times New Roman"/>
                <w:bCs/>
                <w:color w:val="auto"/>
                <w:kern w:val="0"/>
                <w:sz w:val="24"/>
                <w:szCs w:val="24"/>
                <w:highlight w:val="none"/>
                <w:lang w:val="en-US" w:eastAsia="zh-CN"/>
              </w:rPr>
              <w:t>1</w:t>
            </w:r>
            <w:r>
              <w:rPr>
                <w:rFonts w:hint="default" w:ascii="Times New Roman" w:hAnsi="Times New Roman" w:eastAsia="仿宋_GB2312" w:cs="Times New Roman"/>
                <w:bCs/>
                <w:color w:val="auto"/>
                <w:kern w:val="0"/>
                <w:sz w:val="24"/>
                <w:szCs w:val="24"/>
                <w:highlight w:val="none"/>
                <w:lang w:eastAsia="zh-CN"/>
              </w:rPr>
              <w:t>）</w:t>
            </w:r>
            <w:r>
              <w:rPr>
                <w:rFonts w:hint="default" w:ascii="Times New Roman" w:hAnsi="Times New Roman" w:eastAsia="仿宋_GB2312" w:cs="Times New Roman"/>
                <w:bCs/>
                <w:color w:val="auto"/>
                <w:kern w:val="0"/>
                <w:sz w:val="24"/>
                <w:szCs w:val="24"/>
                <w:highlight w:val="none"/>
              </w:rPr>
              <w:t>换股各方名称；</w:t>
            </w:r>
          </w:p>
          <w:p w14:paraId="581AC498">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lang w:eastAsia="zh-CN"/>
              </w:rPr>
              <w:t>（</w:t>
            </w:r>
            <w:r>
              <w:rPr>
                <w:rFonts w:hint="default" w:ascii="Times New Roman" w:hAnsi="Times New Roman" w:eastAsia="仿宋_GB2312" w:cs="Times New Roman"/>
                <w:bCs/>
                <w:color w:val="auto"/>
                <w:kern w:val="0"/>
                <w:sz w:val="24"/>
                <w:szCs w:val="24"/>
                <w:highlight w:val="none"/>
                <w:lang w:val="en-US" w:eastAsia="zh-CN"/>
              </w:rPr>
              <w:t>2</w:t>
            </w:r>
            <w:r>
              <w:rPr>
                <w:rFonts w:hint="default" w:ascii="Times New Roman" w:hAnsi="Times New Roman" w:eastAsia="仿宋_GB2312" w:cs="Times New Roman"/>
                <w:bCs/>
                <w:color w:val="auto"/>
                <w:kern w:val="0"/>
                <w:sz w:val="24"/>
                <w:szCs w:val="24"/>
                <w:highlight w:val="none"/>
                <w:lang w:eastAsia="zh-CN"/>
              </w:rPr>
              <w:t>）</w:t>
            </w:r>
            <w:r>
              <w:rPr>
                <w:rFonts w:hint="default" w:ascii="Times New Roman" w:hAnsi="Times New Roman" w:eastAsia="仿宋_GB2312" w:cs="Times New Roman"/>
                <w:bCs/>
                <w:color w:val="auto"/>
                <w:kern w:val="0"/>
                <w:sz w:val="24"/>
                <w:szCs w:val="24"/>
                <w:highlight w:val="none"/>
              </w:rPr>
              <w:t>换股价格及确定方法；</w:t>
            </w:r>
          </w:p>
          <w:p w14:paraId="79B8379C">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lang w:eastAsia="zh-CN"/>
              </w:rPr>
              <w:t>（</w:t>
            </w:r>
            <w:r>
              <w:rPr>
                <w:rFonts w:hint="default" w:ascii="Times New Roman" w:hAnsi="Times New Roman" w:eastAsia="仿宋_GB2312" w:cs="Times New Roman"/>
                <w:bCs/>
                <w:color w:val="auto"/>
                <w:kern w:val="0"/>
                <w:sz w:val="24"/>
                <w:szCs w:val="24"/>
                <w:highlight w:val="none"/>
                <w:lang w:val="en-US" w:eastAsia="zh-CN"/>
              </w:rPr>
              <w:t>3</w:t>
            </w:r>
            <w:r>
              <w:rPr>
                <w:rFonts w:hint="default" w:ascii="Times New Roman" w:hAnsi="Times New Roman" w:eastAsia="仿宋_GB2312" w:cs="Times New Roman"/>
                <w:bCs/>
                <w:color w:val="auto"/>
                <w:kern w:val="0"/>
                <w:sz w:val="24"/>
                <w:szCs w:val="24"/>
                <w:highlight w:val="none"/>
                <w:lang w:eastAsia="zh-CN"/>
              </w:rPr>
              <w:t>）</w:t>
            </w:r>
            <w:r>
              <w:rPr>
                <w:rFonts w:hint="default" w:ascii="Times New Roman" w:hAnsi="Times New Roman" w:eastAsia="仿宋_GB2312" w:cs="Times New Roman"/>
                <w:bCs/>
                <w:color w:val="auto"/>
                <w:kern w:val="0"/>
                <w:sz w:val="24"/>
                <w:szCs w:val="24"/>
                <w:highlight w:val="none"/>
              </w:rPr>
              <w:t>本次换股吸收合并的董事会决议明确的换股价格调整方案；</w:t>
            </w:r>
          </w:p>
          <w:p w14:paraId="077B9C5C">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lang w:eastAsia="zh-CN"/>
              </w:rPr>
              <w:t>（</w:t>
            </w:r>
            <w:r>
              <w:rPr>
                <w:rFonts w:hint="default" w:ascii="Times New Roman" w:hAnsi="Times New Roman" w:eastAsia="仿宋_GB2312" w:cs="Times New Roman"/>
                <w:bCs/>
                <w:color w:val="auto"/>
                <w:kern w:val="0"/>
                <w:sz w:val="24"/>
                <w:szCs w:val="24"/>
                <w:highlight w:val="none"/>
                <w:lang w:val="en-US" w:eastAsia="zh-CN"/>
              </w:rPr>
              <w:t>4</w:t>
            </w:r>
            <w:r>
              <w:rPr>
                <w:rFonts w:hint="default" w:ascii="Times New Roman" w:hAnsi="Times New Roman" w:eastAsia="仿宋_GB2312" w:cs="Times New Roman"/>
                <w:bCs/>
                <w:color w:val="auto"/>
                <w:kern w:val="0"/>
                <w:sz w:val="24"/>
                <w:szCs w:val="24"/>
                <w:highlight w:val="none"/>
                <w:lang w:eastAsia="zh-CN"/>
              </w:rPr>
              <w:t>）</w:t>
            </w:r>
            <w:r>
              <w:rPr>
                <w:rFonts w:hint="default" w:ascii="Times New Roman" w:hAnsi="Times New Roman" w:eastAsia="仿宋_GB2312" w:cs="Times New Roman"/>
                <w:bCs/>
                <w:color w:val="auto"/>
                <w:kern w:val="0"/>
                <w:sz w:val="24"/>
                <w:szCs w:val="24"/>
                <w:highlight w:val="none"/>
              </w:rPr>
              <w:t>本次换股吸收合并对异议股东权利保护的相关安排；</w:t>
            </w:r>
          </w:p>
          <w:p w14:paraId="0884630D">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lang w:eastAsia="zh-CN"/>
              </w:rPr>
              <w:t>（</w:t>
            </w:r>
            <w:r>
              <w:rPr>
                <w:rFonts w:hint="default" w:ascii="Times New Roman" w:hAnsi="Times New Roman" w:eastAsia="仿宋_GB2312" w:cs="Times New Roman"/>
                <w:bCs/>
                <w:color w:val="auto"/>
                <w:kern w:val="0"/>
                <w:sz w:val="24"/>
                <w:szCs w:val="24"/>
                <w:highlight w:val="none"/>
                <w:lang w:val="en-US" w:eastAsia="zh-CN"/>
              </w:rPr>
              <w:t>5</w:t>
            </w:r>
            <w:r>
              <w:rPr>
                <w:rFonts w:hint="default" w:ascii="Times New Roman" w:hAnsi="Times New Roman" w:eastAsia="仿宋_GB2312" w:cs="Times New Roman"/>
                <w:bCs/>
                <w:color w:val="auto"/>
                <w:kern w:val="0"/>
                <w:sz w:val="24"/>
                <w:szCs w:val="24"/>
                <w:highlight w:val="none"/>
                <w:lang w:eastAsia="zh-CN"/>
              </w:rPr>
              <w:t>）</w:t>
            </w:r>
            <w:r>
              <w:rPr>
                <w:rFonts w:hint="default" w:ascii="Times New Roman" w:hAnsi="Times New Roman" w:eastAsia="仿宋_GB2312" w:cs="Times New Roman"/>
                <w:bCs/>
                <w:color w:val="auto"/>
                <w:kern w:val="0"/>
                <w:sz w:val="24"/>
                <w:szCs w:val="24"/>
                <w:highlight w:val="none"/>
              </w:rPr>
              <w:t>本次换股吸收合并涉及的债权债务处置及债权人权利保护的相关安排；</w:t>
            </w:r>
          </w:p>
          <w:p w14:paraId="2AFEF0A2">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lang w:eastAsia="zh-CN"/>
              </w:rPr>
              <w:t>（</w:t>
            </w:r>
            <w:r>
              <w:rPr>
                <w:rFonts w:hint="default" w:ascii="Times New Roman" w:hAnsi="Times New Roman" w:eastAsia="仿宋_GB2312" w:cs="Times New Roman"/>
                <w:bCs/>
                <w:color w:val="auto"/>
                <w:kern w:val="0"/>
                <w:sz w:val="24"/>
                <w:szCs w:val="24"/>
                <w:highlight w:val="none"/>
                <w:lang w:val="en-US" w:eastAsia="zh-CN"/>
              </w:rPr>
              <w:t>6</w:t>
            </w:r>
            <w:r>
              <w:rPr>
                <w:rFonts w:hint="default" w:ascii="Times New Roman" w:hAnsi="Times New Roman" w:eastAsia="仿宋_GB2312" w:cs="Times New Roman"/>
                <w:bCs/>
                <w:color w:val="auto"/>
                <w:kern w:val="0"/>
                <w:sz w:val="24"/>
                <w:szCs w:val="24"/>
                <w:highlight w:val="none"/>
                <w:lang w:eastAsia="zh-CN"/>
              </w:rPr>
              <w:t>）</w:t>
            </w:r>
            <w:r>
              <w:rPr>
                <w:rFonts w:hint="default" w:ascii="Times New Roman" w:hAnsi="Times New Roman" w:eastAsia="仿宋_GB2312" w:cs="Times New Roman"/>
                <w:bCs/>
                <w:color w:val="auto"/>
                <w:kern w:val="0"/>
                <w:sz w:val="24"/>
                <w:szCs w:val="24"/>
                <w:highlight w:val="none"/>
              </w:rPr>
              <w:t>本次换股吸收合并涉及的相关资产过户或交付</w:t>
            </w:r>
            <w:r>
              <w:rPr>
                <w:rFonts w:hint="default" w:ascii="Times New Roman" w:hAnsi="Times New Roman" w:eastAsia="仿宋_GB2312" w:cs="Times New Roman"/>
                <w:bCs/>
                <w:color w:val="auto"/>
                <w:kern w:val="0"/>
                <w:sz w:val="24"/>
                <w:szCs w:val="24"/>
                <w:highlight w:val="none"/>
                <w:lang w:eastAsia="zh-CN"/>
              </w:rPr>
              <w:t>安</w:t>
            </w:r>
            <w:r>
              <w:rPr>
                <w:rFonts w:hint="default" w:ascii="Times New Roman" w:hAnsi="Times New Roman" w:eastAsia="仿宋_GB2312" w:cs="Times New Roman"/>
                <w:bCs/>
                <w:color w:val="auto"/>
                <w:kern w:val="0"/>
                <w:sz w:val="24"/>
                <w:szCs w:val="24"/>
                <w:highlight w:val="none"/>
              </w:rPr>
              <w:t>排；</w:t>
            </w:r>
          </w:p>
          <w:p w14:paraId="095AEF8E">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lang w:eastAsia="zh-CN"/>
              </w:rPr>
              <w:t>（</w:t>
            </w:r>
            <w:r>
              <w:rPr>
                <w:rFonts w:hint="default" w:ascii="Times New Roman" w:hAnsi="Times New Roman" w:eastAsia="仿宋_GB2312" w:cs="Times New Roman"/>
                <w:bCs/>
                <w:color w:val="auto"/>
                <w:kern w:val="0"/>
                <w:sz w:val="24"/>
                <w:szCs w:val="24"/>
                <w:highlight w:val="none"/>
                <w:lang w:val="en-US" w:eastAsia="zh-CN"/>
              </w:rPr>
              <w:t>7</w:t>
            </w:r>
            <w:r>
              <w:rPr>
                <w:rFonts w:hint="default" w:ascii="Times New Roman" w:hAnsi="Times New Roman" w:eastAsia="仿宋_GB2312" w:cs="Times New Roman"/>
                <w:bCs/>
                <w:color w:val="auto"/>
                <w:kern w:val="0"/>
                <w:sz w:val="24"/>
                <w:szCs w:val="24"/>
                <w:highlight w:val="none"/>
                <w:lang w:eastAsia="zh-CN"/>
              </w:rPr>
              <w:t>）</w:t>
            </w:r>
            <w:r>
              <w:rPr>
                <w:rFonts w:hint="default" w:ascii="Times New Roman" w:hAnsi="Times New Roman" w:eastAsia="仿宋_GB2312" w:cs="Times New Roman"/>
                <w:bCs/>
                <w:color w:val="auto"/>
                <w:kern w:val="0"/>
                <w:sz w:val="24"/>
                <w:szCs w:val="24"/>
                <w:highlight w:val="none"/>
              </w:rPr>
              <w:t>本次换股吸收合并涉及的员工安置。</w:t>
            </w:r>
          </w:p>
        </w:tc>
        <w:tc>
          <w:tcPr>
            <w:tcW w:w="1840" w:type="pct"/>
            <w:shd w:val="clear" w:color="auto" w:fill="auto"/>
          </w:tcPr>
          <w:p w14:paraId="45999CB9">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独立财务顾问应对以下事项进行核查，并在《独立财务顾问报告》中发表明确核查意见：</w:t>
            </w:r>
          </w:p>
          <w:p w14:paraId="4DC671A0">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（1）换股价格及价格调整方案的合规性；</w:t>
            </w:r>
          </w:p>
          <w:p w14:paraId="1614C119">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（2）相关股份锁定期</w:t>
            </w:r>
            <w:r>
              <w:rPr>
                <w:rFonts w:hint="default" w:ascii="Times New Roman" w:hAnsi="Times New Roman" w:eastAsia="仿宋_GB2312" w:cs="Times New Roman"/>
                <w:bCs/>
                <w:color w:val="auto"/>
                <w:kern w:val="0"/>
                <w:sz w:val="24"/>
                <w:szCs w:val="24"/>
                <w:highlight w:val="none"/>
                <w:lang w:val="en-US"/>
              </w:rPr>
              <w:t>的合规性</w:t>
            </w:r>
            <w:r>
              <w:rPr>
                <w:rFonts w:hint="default" w:ascii="Times New Roman" w:hAnsi="Times New Roman" w:eastAsia="仿宋_GB2312" w:cs="Times New Roman"/>
                <w:bCs/>
                <w:color w:val="auto"/>
                <w:kern w:val="0"/>
                <w:sz w:val="24"/>
                <w:szCs w:val="24"/>
                <w:highlight w:val="none"/>
              </w:rPr>
              <w:t>；</w:t>
            </w:r>
          </w:p>
          <w:p w14:paraId="14898474">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（3）是否存在异议股东，异议股东及债权人权利保护安排的合规性，异议股东现金选择权的提供方是否具备支付能力；</w:t>
            </w:r>
          </w:p>
          <w:p w14:paraId="7BD1C522">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（4）被吸收合并主体的业务资质、特许经营权、知识产权等主要资产的权属转移是否存在障碍</w:t>
            </w:r>
            <w:r>
              <w:rPr>
                <w:rFonts w:hint="default" w:ascii="Times New Roman" w:hAnsi="Times New Roman" w:eastAsia="仿宋_GB2312" w:cs="Times New Roman"/>
                <w:bCs/>
                <w:color w:val="auto"/>
                <w:kern w:val="0"/>
                <w:sz w:val="24"/>
                <w:szCs w:val="24"/>
                <w:highlight w:val="none"/>
                <w:lang w:eastAsia="zh-CN"/>
              </w:rPr>
              <w:t>；</w:t>
            </w:r>
          </w:p>
          <w:p w14:paraId="1F076348">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（5）被吸收合并公司股东符合吸收合并公司所在板块投资者适当性管理要求的情况，持有和卖出所获得吸收合并公司股份的安排及合规性。</w:t>
            </w:r>
          </w:p>
          <w:p w14:paraId="58CC450B">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律师应对上述事项进行核查，并发表明确核查意见。</w:t>
            </w:r>
          </w:p>
        </w:tc>
        <w:tc>
          <w:tcPr>
            <w:tcW w:w="620" w:type="pct"/>
            <w:shd w:val="clear" w:color="auto" w:fill="auto"/>
          </w:tcPr>
          <w:p w14:paraId="54228A76">
            <w:pP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《公司法》第八十九条，《重组办法》第</w:t>
            </w:r>
            <w:r>
              <w:rPr>
                <w:rFonts w:hint="default" w:ascii="Times New Roman" w:hAnsi="Times New Roman" w:eastAsia="仿宋_GB2312" w:cs="Times New Roman"/>
                <w:color w:val="auto"/>
                <w:sz w:val="24"/>
                <w:szCs w:val="24"/>
                <w:highlight w:val="none"/>
                <w:lang w:eastAsia="zh-CN"/>
              </w:rPr>
              <w:t>五十</w:t>
            </w:r>
            <w:r>
              <w:rPr>
                <w:rFonts w:hint="default" w:ascii="Times New Roman" w:hAnsi="Times New Roman" w:eastAsia="仿宋_GB2312" w:cs="Times New Roman"/>
                <w:color w:val="auto"/>
                <w:sz w:val="24"/>
                <w:szCs w:val="24"/>
                <w:highlight w:val="none"/>
              </w:rPr>
              <w:t>条，</w:t>
            </w:r>
            <w:r>
              <w:rPr>
                <w:rFonts w:hint="default" w:ascii="Times New Roman" w:hAnsi="Times New Roman" w:eastAsia="仿宋_GB2312" w:cs="Times New Roman"/>
                <w:color w:val="auto"/>
                <w:sz w:val="24"/>
                <w:szCs w:val="24"/>
                <w:highlight w:val="none"/>
                <w:lang w:eastAsia="zh-CN"/>
              </w:rPr>
              <w:t>《上市公司收购管理办法》（以下简称《收购办法》）</w:t>
            </w:r>
            <w:r>
              <w:rPr>
                <w:rFonts w:hint="default" w:ascii="Times New Roman" w:hAnsi="Times New Roman" w:eastAsia="仿宋_GB2312" w:cs="Times New Roman"/>
                <w:color w:val="auto"/>
                <w:sz w:val="24"/>
                <w:szCs w:val="24"/>
                <w:highlight w:val="none"/>
                <w:lang w:val="en-US" w:eastAsia="zh-CN"/>
              </w:rPr>
              <w:t>第七十四条，</w:t>
            </w:r>
            <w:r>
              <w:rPr>
                <w:rFonts w:hint="default" w:ascii="Times New Roman" w:hAnsi="Times New Roman" w:eastAsia="仿宋_GB2312" w:cs="Times New Roman"/>
                <w:color w:val="auto"/>
                <w:sz w:val="24"/>
                <w:szCs w:val="24"/>
                <w:highlight w:val="none"/>
              </w:rPr>
              <w:t>《26号格式准则》第六十二条</w:t>
            </w:r>
          </w:p>
        </w:tc>
      </w:tr>
      <w:tr w14:paraId="4EA82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291" w:type="pct"/>
            <w:shd w:val="clear" w:color="auto" w:fill="auto"/>
            <w:vAlign w:val="center"/>
          </w:tcPr>
          <w:p w14:paraId="54553210">
            <w:pPr>
              <w:jc w:val="center"/>
              <w:rPr>
                <w:rFonts w:hint="default" w:ascii="Times New Roman" w:hAnsi="Times New Roman" w:eastAsia="仿宋_GB2312" w:cs="Times New Roman"/>
                <w:b/>
                <w:bCs/>
                <w:color w:val="auto"/>
                <w:kern w:val="0"/>
                <w:sz w:val="24"/>
                <w:szCs w:val="24"/>
                <w:highlight w:val="none"/>
                <w:lang w:val="en-US" w:eastAsia="zh-CN" w:bidi="ar-SA"/>
              </w:rPr>
            </w:pPr>
            <w:r>
              <w:rPr>
                <w:rFonts w:hint="default" w:ascii="Times New Roman" w:hAnsi="Times New Roman" w:eastAsia="仿宋_GB2312" w:cs="Times New Roman"/>
                <w:b/>
                <w:bCs/>
                <w:color w:val="auto"/>
                <w:kern w:val="0"/>
                <w:sz w:val="24"/>
                <w:szCs w:val="24"/>
                <w:highlight w:val="none"/>
              </w:rPr>
              <w:t>1-5</w:t>
            </w:r>
          </w:p>
        </w:tc>
        <w:tc>
          <w:tcPr>
            <w:tcW w:w="499" w:type="pct"/>
            <w:shd w:val="clear" w:color="auto" w:fill="auto"/>
            <w:vAlign w:val="center"/>
          </w:tcPr>
          <w:p w14:paraId="4FA1AD63">
            <w:pPr>
              <w:rPr>
                <w:rFonts w:hint="default" w:ascii="Times New Roman" w:hAnsi="Times New Roman" w:eastAsia="仿宋_GB2312" w:cs="Times New Roman"/>
                <w:b/>
                <w:bCs/>
                <w:color w:val="auto"/>
                <w:kern w:val="2"/>
                <w:sz w:val="24"/>
                <w:szCs w:val="24"/>
                <w:highlight w:val="none"/>
                <w:lang w:val="en-US" w:eastAsia="zh-CN" w:bidi="ar-SA"/>
              </w:rPr>
            </w:pPr>
            <w:r>
              <w:rPr>
                <w:rFonts w:hint="default" w:ascii="Times New Roman" w:hAnsi="Times New Roman" w:eastAsia="仿宋_GB2312" w:cs="Times New Roman"/>
                <w:b/>
                <w:bCs/>
                <w:color w:val="auto"/>
                <w:sz w:val="24"/>
                <w:szCs w:val="24"/>
                <w:highlight w:val="none"/>
              </w:rPr>
              <w:t>募集配套资金</w:t>
            </w:r>
          </w:p>
        </w:tc>
        <w:tc>
          <w:tcPr>
            <w:tcW w:w="1747" w:type="pct"/>
            <w:shd w:val="clear" w:color="auto" w:fill="auto"/>
            <w:vAlign w:val="top"/>
          </w:tcPr>
          <w:p w14:paraId="132E15E1">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上市公司应当在重组报告书中披露：</w:t>
            </w:r>
          </w:p>
          <w:p w14:paraId="71FBCC8D">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（1）募集配套资金的金额及相当于发行证券购买资产交易价格的比例；</w:t>
            </w:r>
          </w:p>
          <w:p w14:paraId="14EC878B">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（2）募集配套资金的</w:t>
            </w:r>
            <w:r>
              <w:rPr>
                <w:rFonts w:hint="default" w:ascii="Times New Roman" w:hAnsi="Times New Roman" w:eastAsia="仿宋_GB2312" w:cs="Times New Roman"/>
                <w:bCs/>
                <w:color w:val="auto"/>
                <w:kern w:val="0"/>
                <w:sz w:val="24"/>
                <w:szCs w:val="24"/>
                <w:highlight w:val="none"/>
                <w:lang w:eastAsia="zh-CN"/>
              </w:rPr>
              <w:t>股份</w:t>
            </w:r>
            <w:r>
              <w:rPr>
                <w:rFonts w:hint="default" w:ascii="Times New Roman" w:hAnsi="Times New Roman" w:eastAsia="仿宋_GB2312" w:cs="Times New Roman"/>
                <w:bCs/>
                <w:color w:val="auto"/>
                <w:kern w:val="0"/>
                <w:sz w:val="24"/>
                <w:szCs w:val="24"/>
                <w:highlight w:val="none"/>
              </w:rPr>
              <w:t>发行情况</w:t>
            </w:r>
            <w:r>
              <w:rPr>
                <w:rFonts w:hint="default" w:ascii="Times New Roman" w:hAnsi="Times New Roman" w:eastAsia="仿宋_GB2312" w:cs="Times New Roman"/>
                <w:bCs/>
                <w:color w:val="auto"/>
                <w:kern w:val="0"/>
                <w:sz w:val="24"/>
                <w:szCs w:val="24"/>
                <w:highlight w:val="none"/>
                <w:lang w:eastAsia="zh-CN"/>
              </w:rPr>
              <w:t>，</w:t>
            </w:r>
            <w:r>
              <w:rPr>
                <w:rFonts w:hint="default" w:ascii="Times New Roman" w:hAnsi="Times New Roman" w:eastAsia="仿宋_GB2312" w:cs="Times New Roman"/>
                <w:bCs/>
                <w:color w:val="auto"/>
                <w:kern w:val="0"/>
                <w:sz w:val="24"/>
                <w:szCs w:val="24"/>
                <w:highlight w:val="none"/>
                <w:lang w:val="en-US" w:eastAsia="zh-CN"/>
              </w:rPr>
              <w:t>申请一次注册、分期发行的具体安排（如适用）；</w:t>
            </w:r>
          </w:p>
          <w:p w14:paraId="4D7C60E6">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（3）募集配套资金的用途。包括具体用途、资金安排、测试依据、使用计划进度和预期收益，如募集配套资金用于投资项目的，披露项目是否取得相应的许可证书或者有关主管部门的批复文件；</w:t>
            </w:r>
          </w:p>
          <w:p w14:paraId="4E725B7D">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4）募集配套资金的必要性。结合行业特点、资金用途、前次募集资金使用效率、上市公司及标的资产现有生产经营规模和财务状况、是否有利于提高重组项目的整合绩效等方面，论证本次募集配套资金的必要性及配套金额是否与之相匹配；</w:t>
            </w:r>
          </w:p>
          <w:p w14:paraId="27A18D9B">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（5）科创板上市公司募集配套资金的，披露相关资金是否用于科技创新领域，以及募投项目实施促进上市公司科技创新水平提升的方式</w:t>
            </w:r>
            <w:r>
              <w:rPr>
                <w:rFonts w:hint="default" w:ascii="Times New Roman" w:hAnsi="Times New Roman" w:eastAsia="仿宋_GB2312" w:cs="Times New Roman"/>
                <w:bCs/>
                <w:color w:val="auto"/>
                <w:kern w:val="0"/>
                <w:sz w:val="24"/>
                <w:szCs w:val="24"/>
                <w:highlight w:val="none"/>
                <w:lang w:eastAsia="zh-CN"/>
              </w:rPr>
              <w:t>；</w:t>
            </w:r>
          </w:p>
          <w:p w14:paraId="0C59B927">
            <w:pPr>
              <w:ind w:firstLine="480" w:firstLineChars="200"/>
              <w:rPr>
                <w:rFonts w:hint="default" w:ascii="Times New Roman" w:hAnsi="Times New Roman" w:eastAsia="仿宋_GB2312" w:cs="Times New Roman"/>
                <w:bCs/>
                <w:color w:val="auto"/>
                <w:kern w:val="0"/>
                <w:sz w:val="24"/>
                <w:szCs w:val="24"/>
                <w:highlight w:val="none"/>
                <w:lang w:val="en-US" w:eastAsia="zh-CN"/>
              </w:rPr>
            </w:pPr>
            <w:r>
              <w:rPr>
                <w:rFonts w:hint="default" w:ascii="Times New Roman" w:hAnsi="Times New Roman" w:eastAsia="仿宋_GB2312" w:cs="Times New Roman"/>
                <w:bCs/>
                <w:color w:val="auto"/>
                <w:kern w:val="0"/>
                <w:sz w:val="24"/>
                <w:szCs w:val="24"/>
                <w:highlight w:val="none"/>
                <w:lang w:val="en-US" w:eastAsia="zh-CN"/>
              </w:rPr>
              <w:t>（6）上市公司发行可转债募集配套资金的，除按照（1）-（5）要求披露外，还需要按照</w:t>
            </w:r>
            <w:r>
              <w:rPr>
                <w:rFonts w:hint="default" w:ascii="Times New Roman" w:hAnsi="Times New Roman" w:eastAsia="仿宋_GB2312" w:cs="Times New Roman"/>
                <w:color w:val="auto"/>
                <w:sz w:val="24"/>
                <w:szCs w:val="24"/>
                <w:highlight w:val="none"/>
              </w:rPr>
              <w:t>《26号格式准则》</w:t>
            </w:r>
            <w:r>
              <w:rPr>
                <w:rFonts w:hint="default" w:ascii="Times New Roman" w:hAnsi="Times New Roman" w:eastAsia="仿宋_GB2312" w:cs="Times New Roman"/>
                <w:bCs/>
                <w:color w:val="auto"/>
                <w:kern w:val="0"/>
                <w:sz w:val="24"/>
                <w:szCs w:val="24"/>
                <w:highlight w:val="none"/>
                <w:lang w:val="en-US" w:eastAsia="zh-CN"/>
              </w:rPr>
              <w:t>第六十条第（一）项相关要求进行披露。</w:t>
            </w:r>
          </w:p>
        </w:tc>
        <w:tc>
          <w:tcPr>
            <w:tcW w:w="1840" w:type="pct"/>
            <w:shd w:val="clear" w:color="auto" w:fill="auto"/>
            <w:vAlign w:val="top"/>
          </w:tcPr>
          <w:p w14:paraId="6C43242F">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独立财务顾问应对以下事项进行核查，并在《独立财务顾问报告》中发表明确核查意见：</w:t>
            </w:r>
          </w:p>
          <w:p w14:paraId="70E22E9C">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（1）核查募集配套资金的规模、用途、补充流动资金及偿还债务金额占比（如有）是否符合《监管规则适用指引——上市类第1号》1-1的规定；</w:t>
            </w:r>
          </w:p>
          <w:p w14:paraId="5F561018">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（2）核查本次募集配套资金的必要性，是否存在现金充裕</w:t>
            </w:r>
            <w:r>
              <w:rPr>
                <w:rFonts w:hint="eastAsia" w:ascii="Times New Roman" w:hAnsi="Times New Roman" w:eastAsia="仿宋_GB2312" w:cs="Times New Roman"/>
                <w:bCs/>
                <w:color w:val="auto"/>
                <w:kern w:val="0"/>
                <w:sz w:val="24"/>
                <w:szCs w:val="24"/>
                <w:highlight w:val="none"/>
                <w:lang w:eastAsia="zh-CN"/>
              </w:rPr>
              <w:t>且</w:t>
            </w:r>
            <w:r>
              <w:rPr>
                <w:rFonts w:hint="default" w:ascii="Times New Roman" w:hAnsi="Times New Roman" w:eastAsia="仿宋_GB2312" w:cs="Times New Roman"/>
                <w:bCs/>
                <w:color w:val="auto"/>
                <w:kern w:val="0"/>
                <w:sz w:val="24"/>
                <w:szCs w:val="24"/>
                <w:highlight w:val="none"/>
              </w:rPr>
              <w:t>大额补流的情形；涉及募投项目的，核查募投项目的具体投资构成明细、各项投资支出的必要性和合理性；</w:t>
            </w:r>
          </w:p>
          <w:p w14:paraId="51462215">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（3）募投项目的审批、批准或备案情况、相关进展以及是否存在重大不确定性。</w:t>
            </w:r>
          </w:p>
          <w:p w14:paraId="1FBB47D3">
            <w:pPr>
              <w:ind w:firstLine="480" w:firstLineChars="200"/>
              <w:rPr>
                <w:rFonts w:hint="default" w:ascii="Times New Roman" w:hAnsi="Times New Roman" w:eastAsia="仿宋_GB2312" w:cs="Times New Roman"/>
                <w:bCs/>
                <w:color w:val="auto"/>
                <w:kern w:val="0"/>
                <w:sz w:val="24"/>
                <w:szCs w:val="24"/>
                <w:highlight w:val="none"/>
                <w:lang w:val="en-US" w:eastAsia="zh-CN" w:bidi="ar-SA"/>
              </w:rPr>
            </w:pPr>
            <w:r>
              <w:rPr>
                <w:rFonts w:hint="default" w:ascii="Times New Roman" w:hAnsi="Times New Roman" w:eastAsia="仿宋_GB2312" w:cs="Times New Roman"/>
                <w:bCs/>
                <w:color w:val="auto"/>
                <w:kern w:val="0"/>
                <w:sz w:val="24"/>
                <w:szCs w:val="24"/>
                <w:highlight w:val="none"/>
              </w:rPr>
              <w:t>律师应对上述事项进行核查，并发表明确核查意见。</w:t>
            </w:r>
          </w:p>
        </w:tc>
        <w:tc>
          <w:tcPr>
            <w:tcW w:w="620" w:type="pct"/>
            <w:shd w:val="clear" w:color="auto" w:fill="auto"/>
            <w:vAlign w:val="top"/>
          </w:tcPr>
          <w:p w14:paraId="3EAEC24C">
            <w:pP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szCs w:val="24"/>
                <w:highlight w:val="none"/>
              </w:rPr>
              <w:t>《26号格式准则》第六十四条、第六十五条，《监管规则适用指引——上市类第1号》1-1</w:t>
            </w:r>
          </w:p>
        </w:tc>
      </w:tr>
      <w:tr w14:paraId="13FFB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291" w:type="pct"/>
            <w:shd w:val="clear" w:color="auto" w:fill="auto"/>
            <w:vAlign w:val="center"/>
          </w:tcPr>
          <w:p w14:paraId="03C608F1">
            <w:pPr>
              <w:jc w:val="center"/>
              <w:rPr>
                <w:rFonts w:hint="default" w:ascii="Times New Roman" w:hAnsi="Times New Roman" w:eastAsia="仿宋_GB2312" w:cs="Times New Roman"/>
                <w:b/>
                <w:bCs/>
                <w:color w:val="auto"/>
                <w:kern w:val="0"/>
                <w:sz w:val="24"/>
                <w:szCs w:val="24"/>
                <w:highlight w:val="none"/>
              </w:rPr>
            </w:pPr>
            <w:r>
              <w:rPr>
                <w:rFonts w:hint="default" w:ascii="Times New Roman" w:hAnsi="Times New Roman" w:eastAsia="仿宋_GB2312" w:cs="Times New Roman"/>
                <w:b/>
                <w:bCs/>
                <w:color w:val="auto"/>
                <w:kern w:val="0"/>
                <w:sz w:val="24"/>
                <w:szCs w:val="24"/>
                <w:highlight w:val="none"/>
              </w:rPr>
              <w:t>1-6</w:t>
            </w:r>
          </w:p>
        </w:tc>
        <w:tc>
          <w:tcPr>
            <w:tcW w:w="499" w:type="pct"/>
            <w:shd w:val="clear" w:color="auto" w:fill="auto"/>
            <w:vAlign w:val="center"/>
          </w:tcPr>
          <w:p w14:paraId="645F292A">
            <w:pPr>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是否构成重组上市</w:t>
            </w:r>
          </w:p>
        </w:tc>
        <w:tc>
          <w:tcPr>
            <w:tcW w:w="1747" w:type="pct"/>
            <w:shd w:val="clear" w:color="auto" w:fill="auto"/>
          </w:tcPr>
          <w:p w14:paraId="64BB66B1">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上市公司应当在重组报告书中披露：</w:t>
            </w:r>
          </w:p>
          <w:p w14:paraId="1C253DA3">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（1）本次交易是否构成重组上市及判断依据；</w:t>
            </w:r>
          </w:p>
          <w:p w14:paraId="6A27F1B6">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2）如披露本次交易不构成重组上市，但交易完成后，持有上市公司百分之五以上股份的股东或者实际控制人持股情况或者控制公司的情况以及上市公司的业务构成都将发生较大变化，披露未来三十六个月上市公司是否存在维持或变更控制权、调整主营业务的相关安排、承诺、协议等，如存在，详细披露主要内容。</w:t>
            </w:r>
          </w:p>
        </w:tc>
        <w:tc>
          <w:tcPr>
            <w:tcW w:w="1840" w:type="pct"/>
            <w:shd w:val="clear" w:color="auto" w:fill="auto"/>
          </w:tcPr>
          <w:p w14:paraId="1A61FCB6">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独立财务顾问应对以下事项进行核查，并在《独立财务顾问报告》中发表明确核查意见：</w:t>
            </w:r>
          </w:p>
          <w:p w14:paraId="52FAC640">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（1）上市公司控制权最近36个月内是否发生变更；本次交易是否导致上市公司控制权发生变更；</w:t>
            </w:r>
          </w:p>
          <w:p w14:paraId="6F295956">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2）根据《重组办法》第十三条、《〈上市公司重大资产重组管理办法〉第十四条、第四十四条的适用意见——证券期货法律适用意见第12号》（以下简称《证券期货法律适用意见第12号》）、《监管规则适用指引——上市类第1号》1-1等相关规定，核查本次交易是否构成重组上市；</w:t>
            </w:r>
          </w:p>
          <w:p w14:paraId="1321847F">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（3）如上市公司控制权最近36个月内发生变更，或者本次交易导致上市公司控制权发生变更，且认为本次交易不构成重组上市的，审慎核查不构成重组上市的原因及依据充分性。</w:t>
            </w:r>
          </w:p>
          <w:p w14:paraId="7FDF9D0F">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律师应对上述事项进行核查，并发表明确核查意见。</w:t>
            </w:r>
          </w:p>
        </w:tc>
        <w:tc>
          <w:tcPr>
            <w:tcW w:w="620" w:type="pct"/>
            <w:shd w:val="clear" w:color="auto" w:fill="auto"/>
          </w:tcPr>
          <w:p w14:paraId="72C4E084">
            <w:pP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《重组办法》第十三条，《26号格式准则》第十三条，《证券期货法律适用意见第12号》，《监管规则适用指引——上市类第1号》1-1</w:t>
            </w:r>
          </w:p>
        </w:tc>
      </w:tr>
      <w:tr w14:paraId="20C18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1" w:type="pct"/>
            <w:shd w:val="clear" w:color="auto" w:fill="auto"/>
            <w:vAlign w:val="center"/>
          </w:tcPr>
          <w:p w14:paraId="2BA7049C">
            <w:pPr>
              <w:jc w:val="center"/>
              <w:rPr>
                <w:rFonts w:hint="default" w:ascii="Times New Roman" w:hAnsi="Times New Roman" w:eastAsia="仿宋_GB2312" w:cs="Times New Roman"/>
                <w:b/>
                <w:bCs/>
                <w:color w:val="auto"/>
                <w:kern w:val="0"/>
                <w:sz w:val="24"/>
                <w:szCs w:val="24"/>
                <w:highlight w:val="none"/>
              </w:rPr>
            </w:pPr>
            <w:r>
              <w:rPr>
                <w:rFonts w:hint="default" w:ascii="Times New Roman" w:hAnsi="Times New Roman" w:eastAsia="仿宋_GB2312" w:cs="Times New Roman"/>
                <w:b/>
                <w:bCs/>
                <w:color w:val="auto"/>
                <w:kern w:val="0"/>
                <w:sz w:val="24"/>
                <w:szCs w:val="24"/>
                <w:highlight w:val="none"/>
              </w:rPr>
              <w:t>1-7</w:t>
            </w:r>
          </w:p>
        </w:tc>
        <w:tc>
          <w:tcPr>
            <w:tcW w:w="499" w:type="pct"/>
            <w:shd w:val="clear" w:color="auto" w:fill="auto"/>
            <w:vAlign w:val="center"/>
          </w:tcPr>
          <w:p w14:paraId="5B6E61D2">
            <w:pPr>
              <w:rPr>
                <w:rFonts w:hint="default" w:ascii="Times New Roman" w:hAnsi="Times New Roman" w:eastAsia="仿宋_GB2312" w:cs="Times New Roman"/>
                <w:b/>
                <w:bCs/>
                <w:color w:val="auto"/>
                <w:sz w:val="24"/>
                <w:szCs w:val="24"/>
                <w:highlight w:val="none"/>
                <w:lang w:eastAsia="zh-CN"/>
              </w:rPr>
            </w:pPr>
            <w:r>
              <w:rPr>
                <w:rFonts w:hint="default" w:ascii="Times New Roman" w:hAnsi="Times New Roman" w:eastAsia="仿宋_GB2312" w:cs="Times New Roman"/>
                <w:b/>
                <w:bCs/>
                <w:color w:val="auto"/>
                <w:sz w:val="24"/>
                <w:szCs w:val="24"/>
                <w:highlight w:val="none"/>
              </w:rPr>
              <w:t>业绩承诺</w:t>
            </w:r>
            <w:r>
              <w:rPr>
                <w:rFonts w:hint="default" w:ascii="Times New Roman" w:hAnsi="Times New Roman" w:eastAsia="仿宋_GB2312" w:cs="Times New Roman"/>
                <w:b/>
                <w:bCs/>
                <w:color w:val="auto"/>
                <w:sz w:val="24"/>
                <w:szCs w:val="24"/>
                <w:highlight w:val="none"/>
                <w:lang w:eastAsia="zh-CN"/>
              </w:rPr>
              <w:t>（如有）</w:t>
            </w:r>
          </w:p>
        </w:tc>
        <w:tc>
          <w:tcPr>
            <w:tcW w:w="1747" w:type="pct"/>
            <w:shd w:val="clear" w:color="auto" w:fill="auto"/>
          </w:tcPr>
          <w:p w14:paraId="219E9A77">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上市公司应当在重组报告书中披露：</w:t>
            </w:r>
          </w:p>
          <w:p w14:paraId="1035D462">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（1）业绩补偿协议的主要内容，包括但不限于业绩承诺内容、业绩补偿方式、减值测试安排等；如业绩承诺涉及净利润指标的，说明净利润计算方式，是否扣除非经常性损益；</w:t>
            </w:r>
          </w:p>
          <w:p w14:paraId="312FBEC8">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（2）业绩承诺是否合理，是否存在异常增长，是否符合行业发展趋势和业务发展规律；</w:t>
            </w:r>
          </w:p>
          <w:p w14:paraId="1A50724F">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（3）交易对方是否按照规定与上市公司签订了明确可行的补偿协议</w:t>
            </w:r>
            <w:r>
              <w:rPr>
                <w:rFonts w:hint="default" w:ascii="Times New Roman" w:hAnsi="Times New Roman" w:eastAsia="仿宋_GB2312" w:cs="Times New Roman"/>
                <w:bCs/>
                <w:color w:val="auto"/>
                <w:kern w:val="0"/>
                <w:sz w:val="24"/>
                <w:szCs w:val="24"/>
                <w:highlight w:val="none"/>
                <w:lang w:eastAsia="zh-CN"/>
              </w:rPr>
              <w:t>，或者分期支付安排，并就分期支付安排无法覆盖的部分签订补偿协议</w:t>
            </w:r>
            <w:r>
              <w:rPr>
                <w:rFonts w:hint="default" w:ascii="Times New Roman" w:hAnsi="Times New Roman" w:eastAsia="仿宋_GB2312" w:cs="Times New Roman"/>
                <w:bCs/>
                <w:color w:val="auto"/>
                <w:kern w:val="0"/>
                <w:sz w:val="24"/>
                <w:szCs w:val="24"/>
                <w:highlight w:val="none"/>
              </w:rPr>
              <w:t>；</w:t>
            </w:r>
          </w:p>
          <w:p w14:paraId="6014058F">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（4）交易对方是否具备相应的履约能力，在承诺期内是否具有明确的履约保障措施。</w:t>
            </w:r>
          </w:p>
        </w:tc>
        <w:tc>
          <w:tcPr>
            <w:tcW w:w="1840" w:type="pct"/>
            <w:shd w:val="clear" w:color="auto" w:fill="auto"/>
          </w:tcPr>
          <w:p w14:paraId="49817978">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独立财务顾问应对以下事项进行核查，并在《独立财务顾问报告》中发表明确核查意见：</w:t>
            </w:r>
          </w:p>
          <w:p w14:paraId="3C3126F1">
            <w:pPr>
              <w:numPr>
                <w:ilvl w:val="0"/>
                <w:numId w:val="3"/>
              </w:num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核查业绩承诺的相关协议，业绩承诺的具体内容，业绩承诺补偿安排的合规性、合理性，业绩承诺的可实现性，业绩补偿义务人确保承诺履行相关安排的可行性；</w:t>
            </w:r>
          </w:p>
          <w:p w14:paraId="3955F956">
            <w:pPr>
              <w:numPr>
                <w:ilvl w:val="-1"/>
                <w:numId w:val="0"/>
              </w:numPr>
              <w:ind w:firstLine="480" w:firstLineChars="200"/>
              <w:rPr>
                <w:rFonts w:hint="default" w:ascii="Times New Roman" w:hAnsi="Times New Roman" w:eastAsia="仿宋_GB2312" w:cs="Times New Roman"/>
                <w:bCs/>
                <w:color w:val="auto"/>
                <w:kern w:val="0"/>
                <w:sz w:val="24"/>
                <w:szCs w:val="24"/>
                <w:highlight w:val="yellow"/>
              </w:rPr>
            </w:pPr>
            <w:r>
              <w:rPr>
                <w:rFonts w:hint="default" w:ascii="Times New Roman" w:hAnsi="Times New Roman" w:eastAsia="仿宋_GB2312" w:cs="Times New Roman"/>
                <w:bCs/>
                <w:color w:val="auto"/>
                <w:kern w:val="0"/>
                <w:sz w:val="24"/>
                <w:szCs w:val="24"/>
                <w:highlight w:val="none"/>
                <w:lang w:eastAsia="zh-CN"/>
              </w:rPr>
              <w:t>（</w:t>
            </w:r>
            <w:r>
              <w:rPr>
                <w:rFonts w:hint="default" w:ascii="Times New Roman" w:hAnsi="Times New Roman" w:eastAsia="仿宋_GB2312" w:cs="Times New Roman"/>
                <w:bCs/>
                <w:color w:val="auto"/>
                <w:kern w:val="0"/>
                <w:sz w:val="24"/>
                <w:szCs w:val="24"/>
                <w:highlight w:val="none"/>
                <w:lang w:val="en-US" w:eastAsia="zh-CN"/>
              </w:rPr>
              <w:t>2</w:t>
            </w:r>
            <w:r>
              <w:rPr>
                <w:rFonts w:hint="default" w:ascii="Times New Roman" w:hAnsi="Times New Roman" w:eastAsia="仿宋_GB2312" w:cs="Times New Roman"/>
                <w:bCs/>
                <w:color w:val="auto"/>
                <w:kern w:val="0"/>
                <w:sz w:val="24"/>
                <w:szCs w:val="24"/>
                <w:highlight w:val="none"/>
                <w:lang w:eastAsia="zh-CN"/>
              </w:rPr>
              <w:t>）根据相关资产的利润预测数约定分期支付安排的，是否就分期支付安排无法覆盖的部分签订补偿协议（如适用）；</w:t>
            </w:r>
          </w:p>
          <w:p w14:paraId="00F87406">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w:t>
            </w:r>
            <w:r>
              <w:rPr>
                <w:rFonts w:hint="default" w:ascii="Times New Roman" w:hAnsi="Times New Roman" w:eastAsia="仿宋_GB2312" w:cs="Times New Roman"/>
                <w:bCs/>
                <w:color w:val="auto"/>
                <w:kern w:val="0"/>
                <w:sz w:val="24"/>
                <w:szCs w:val="24"/>
                <w:highlight w:val="none"/>
                <w:lang w:val="en-US" w:eastAsia="zh-CN"/>
              </w:rPr>
              <w:t>3</w:t>
            </w:r>
            <w:r>
              <w:rPr>
                <w:rFonts w:hint="default" w:ascii="Times New Roman" w:hAnsi="Times New Roman" w:eastAsia="仿宋_GB2312" w:cs="Times New Roman"/>
                <w:bCs/>
                <w:color w:val="auto"/>
                <w:kern w:val="0"/>
                <w:sz w:val="24"/>
                <w:szCs w:val="24"/>
                <w:highlight w:val="none"/>
              </w:rPr>
              <w:t>）核查是否涉及《监管规则适用指引——上市类第1号》1-2的业绩补偿范围，如涉及，业绩承诺具体安排、补偿方式以及保障措施是否符合《重组办法》第三十五条、《监管规则适用指引——上市类第1号》1-2的规定。</w:t>
            </w:r>
          </w:p>
          <w:p w14:paraId="418F788D">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律师应对上述事项进行核查，并发表明确核查意见。</w:t>
            </w:r>
          </w:p>
        </w:tc>
        <w:tc>
          <w:tcPr>
            <w:tcW w:w="620" w:type="pct"/>
            <w:shd w:val="clear" w:color="auto" w:fill="auto"/>
          </w:tcPr>
          <w:p w14:paraId="540A6F62">
            <w:pP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《26号格式准则》第二十七条，《重组办法》第三十五条，《监管规则适用指引——上市类第1号》1-2，《重组审核规则》第二十四条</w:t>
            </w:r>
          </w:p>
        </w:tc>
      </w:tr>
      <w:tr w14:paraId="6F6AE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291" w:type="pct"/>
            <w:shd w:val="clear" w:color="auto" w:fill="auto"/>
            <w:vAlign w:val="center"/>
          </w:tcPr>
          <w:p w14:paraId="52F000FE">
            <w:pPr>
              <w:jc w:val="center"/>
              <w:rPr>
                <w:rFonts w:hint="default" w:ascii="Times New Roman" w:hAnsi="Times New Roman" w:eastAsia="仿宋_GB2312" w:cs="Times New Roman"/>
                <w:b/>
                <w:bCs/>
                <w:color w:val="auto"/>
                <w:kern w:val="0"/>
                <w:sz w:val="24"/>
                <w:szCs w:val="24"/>
                <w:highlight w:val="none"/>
              </w:rPr>
            </w:pPr>
            <w:r>
              <w:rPr>
                <w:rFonts w:hint="default" w:ascii="Times New Roman" w:hAnsi="Times New Roman" w:eastAsia="仿宋_GB2312" w:cs="Times New Roman"/>
                <w:b/>
                <w:bCs/>
                <w:color w:val="auto"/>
                <w:kern w:val="0"/>
                <w:sz w:val="24"/>
                <w:szCs w:val="24"/>
                <w:highlight w:val="none"/>
              </w:rPr>
              <w:t>1-8</w:t>
            </w:r>
          </w:p>
        </w:tc>
        <w:tc>
          <w:tcPr>
            <w:tcW w:w="499" w:type="pct"/>
            <w:shd w:val="clear" w:color="auto" w:fill="auto"/>
            <w:vAlign w:val="center"/>
          </w:tcPr>
          <w:p w14:paraId="027EFC4F">
            <w:pPr>
              <w:pStyle w:val="25"/>
              <w:jc w:val="both"/>
              <w:rPr>
                <w:rFonts w:hint="default" w:ascii="Times New Roman" w:hAnsi="Times New Roman" w:eastAsia="仿宋_GB2312" w:cs="Times New Roman"/>
                <w:b/>
                <w:bCs/>
                <w:strike/>
                <w:color w:val="auto"/>
                <w:sz w:val="24"/>
                <w:szCs w:val="24"/>
                <w:highlight w:val="none"/>
                <w:lang w:eastAsia="zh-CN"/>
              </w:rPr>
            </w:pPr>
            <w:r>
              <w:rPr>
                <w:rFonts w:hint="default" w:ascii="Times New Roman" w:hAnsi="Times New Roman" w:eastAsia="仿宋_GB2312" w:cs="Times New Roman"/>
                <w:b/>
                <w:bCs/>
                <w:color w:val="auto"/>
                <w:sz w:val="24"/>
                <w:szCs w:val="24"/>
                <w:highlight w:val="none"/>
              </w:rPr>
              <w:t>业绩奖励</w:t>
            </w:r>
            <w:r>
              <w:rPr>
                <w:rFonts w:hint="default" w:ascii="Times New Roman" w:hAnsi="Times New Roman" w:eastAsia="仿宋_GB2312" w:cs="Times New Roman"/>
                <w:b/>
                <w:bCs/>
                <w:color w:val="auto"/>
                <w:sz w:val="24"/>
                <w:szCs w:val="24"/>
                <w:highlight w:val="none"/>
                <w:lang w:eastAsia="zh-CN"/>
              </w:rPr>
              <w:t>（如有）</w:t>
            </w:r>
          </w:p>
        </w:tc>
        <w:tc>
          <w:tcPr>
            <w:tcW w:w="1747" w:type="pct"/>
            <w:shd w:val="clear" w:color="auto" w:fill="auto"/>
          </w:tcPr>
          <w:p w14:paraId="75F6434F">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上市公司应当在重组报告书中披露：</w:t>
            </w:r>
          </w:p>
          <w:p w14:paraId="72B31002">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设置业绩奖励的原因、依据及合理性，相关会计处理及对上市公司可能造成的影响，业绩奖励对象的范围、确定方式</w:t>
            </w:r>
            <w:r>
              <w:rPr>
                <w:rFonts w:hint="default" w:ascii="Times New Roman" w:hAnsi="Times New Roman" w:eastAsia="仿宋_GB2312" w:cs="Times New Roman"/>
                <w:bCs/>
                <w:color w:val="auto"/>
                <w:kern w:val="0"/>
                <w:sz w:val="24"/>
                <w:szCs w:val="24"/>
                <w:highlight w:val="none"/>
                <w:lang w:eastAsia="zh-CN"/>
              </w:rPr>
              <w:t>。</w:t>
            </w:r>
          </w:p>
        </w:tc>
        <w:tc>
          <w:tcPr>
            <w:tcW w:w="1840" w:type="pct"/>
            <w:shd w:val="clear" w:color="auto" w:fill="auto"/>
          </w:tcPr>
          <w:p w14:paraId="63DC91AA">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独立财务顾问应对以下事项进行核查，并在《独立财务顾问报告》中发表明确核查意见：</w:t>
            </w:r>
          </w:p>
          <w:p w14:paraId="14CC731C">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结合业绩奖励总额上限、业绩奖励对象及确定方式等，核查业绩奖励方案是否符合《监管规则适用指引——上市类第1号》1-2的规定。</w:t>
            </w:r>
          </w:p>
          <w:p w14:paraId="5D1EA1BC">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律师应对上述事项进行核查，并发表明确核查意见。</w:t>
            </w:r>
          </w:p>
        </w:tc>
        <w:tc>
          <w:tcPr>
            <w:tcW w:w="620" w:type="pct"/>
            <w:shd w:val="clear" w:color="auto" w:fill="auto"/>
          </w:tcPr>
          <w:p w14:paraId="6BA83FC8">
            <w:pPr>
              <w:pStyle w:val="25"/>
              <w:jc w:val="both"/>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color w:val="auto"/>
                <w:kern w:val="2"/>
                <w:sz w:val="24"/>
                <w:szCs w:val="24"/>
                <w:highlight w:val="none"/>
              </w:rPr>
              <w:t>《监管规则适用指引——上市类第1号》1-2</w:t>
            </w:r>
          </w:p>
        </w:tc>
      </w:tr>
      <w:tr w14:paraId="32560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291" w:type="pct"/>
            <w:shd w:val="clear" w:color="auto" w:fill="auto"/>
          </w:tcPr>
          <w:p w14:paraId="00B92C3F">
            <w:pPr>
              <w:jc w:val="center"/>
              <w:rPr>
                <w:rFonts w:hint="default" w:ascii="Times New Roman" w:hAnsi="Times New Roman" w:eastAsia="仿宋_GB2312" w:cs="Times New Roman"/>
                <w:b/>
                <w:bCs/>
                <w:color w:val="auto"/>
                <w:kern w:val="0"/>
                <w:sz w:val="24"/>
                <w:szCs w:val="24"/>
                <w:highlight w:val="none"/>
              </w:rPr>
            </w:pPr>
            <w:r>
              <w:rPr>
                <w:rFonts w:hint="default" w:ascii="Times New Roman" w:hAnsi="Times New Roman" w:eastAsia="仿宋_GB2312" w:cs="Times New Roman"/>
                <w:b/>
                <w:bCs/>
                <w:color w:val="auto"/>
                <w:kern w:val="0"/>
                <w:sz w:val="24"/>
                <w:szCs w:val="24"/>
                <w:highlight w:val="none"/>
              </w:rPr>
              <w:t>1-9</w:t>
            </w:r>
          </w:p>
        </w:tc>
        <w:tc>
          <w:tcPr>
            <w:tcW w:w="499" w:type="pct"/>
            <w:shd w:val="clear" w:color="auto" w:fill="auto"/>
          </w:tcPr>
          <w:p w14:paraId="584DB6E6">
            <w:pPr>
              <w:pStyle w:val="25"/>
              <w:jc w:val="both"/>
              <w:rPr>
                <w:rFonts w:hint="default" w:ascii="Times New Roman" w:hAnsi="Times New Roman" w:eastAsia="仿宋_GB2312" w:cs="Times New Roman"/>
                <w:b/>
                <w:bCs/>
                <w:strike/>
                <w:color w:val="auto"/>
                <w:sz w:val="24"/>
                <w:szCs w:val="24"/>
                <w:highlight w:val="none"/>
              </w:rPr>
            </w:pPr>
            <w:r>
              <w:rPr>
                <w:rFonts w:hint="default" w:ascii="Times New Roman" w:hAnsi="Times New Roman" w:eastAsia="仿宋_GB2312" w:cs="Times New Roman"/>
                <w:b/>
                <w:bCs/>
                <w:color w:val="auto"/>
                <w:sz w:val="24"/>
                <w:szCs w:val="24"/>
                <w:highlight w:val="none"/>
              </w:rPr>
              <w:t>锁定期安排</w:t>
            </w:r>
          </w:p>
        </w:tc>
        <w:tc>
          <w:tcPr>
            <w:tcW w:w="4898" w:type="dxa"/>
            <w:shd w:val="clear" w:color="auto" w:fill="auto"/>
            <w:vAlign w:val="top"/>
          </w:tcPr>
          <w:p w14:paraId="5092996C">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上市公司应当在重组报告书中披露：</w:t>
            </w:r>
          </w:p>
          <w:p w14:paraId="414CF6BB">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（1）特定对象以资产认购取得上市公司股份的锁定期符合《重组办法》第四十</w:t>
            </w:r>
            <w:r>
              <w:rPr>
                <w:rFonts w:hint="default" w:ascii="Times New Roman" w:hAnsi="Times New Roman" w:eastAsia="仿宋_GB2312" w:cs="Times New Roman"/>
                <w:bCs/>
                <w:color w:val="auto"/>
                <w:kern w:val="0"/>
                <w:sz w:val="24"/>
                <w:szCs w:val="24"/>
                <w:highlight w:val="none"/>
                <w:lang w:eastAsia="zh-CN"/>
              </w:rPr>
              <w:t>七</w:t>
            </w:r>
            <w:r>
              <w:rPr>
                <w:rFonts w:hint="default" w:ascii="Times New Roman" w:hAnsi="Times New Roman" w:eastAsia="仿宋_GB2312" w:cs="Times New Roman"/>
                <w:bCs/>
                <w:color w:val="auto"/>
                <w:kern w:val="0"/>
                <w:sz w:val="24"/>
                <w:szCs w:val="24"/>
                <w:highlight w:val="none"/>
              </w:rPr>
              <w:t>条第一款规定的情况；特定对象以资产认购取得可转债的锁定期符合《上市公司向特定对象发行可转换公司债券购买资产规则》第七条规定的情况；</w:t>
            </w:r>
          </w:p>
          <w:p w14:paraId="4A4E1A13">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（2）重组上市涉及各主体的股份锁定期符合《重组办法》第四十</w:t>
            </w:r>
            <w:r>
              <w:rPr>
                <w:rFonts w:hint="default" w:ascii="Times New Roman" w:hAnsi="Times New Roman" w:eastAsia="仿宋_GB2312" w:cs="Times New Roman"/>
                <w:bCs/>
                <w:color w:val="auto"/>
                <w:kern w:val="0"/>
                <w:sz w:val="24"/>
                <w:szCs w:val="24"/>
                <w:highlight w:val="none"/>
                <w:lang w:eastAsia="zh-CN"/>
              </w:rPr>
              <w:t>七</w:t>
            </w:r>
            <w:r>
              <w:rPr>
                <w:rFonts w:hint="default" w:ascii="Times New Roman" w:hAnsi="Times New Roman" w:eastAsia="仿宋_GB2312" w:cs="Times New Roman"/>
                <w:bCs/>
                <w:color w:val="auto"/>
                <w:kern w:val="0"/>
                <w:sz w:val="24"/>
                <w:szCs w:val="24"/>
                <w:highlight w:val="none"/>
              </w:rPr>
              <w:t>条第二款规定的情况；</w:t>
            </w:r>
          </w:p>
          <w:p w14:paraId="689D5A93">
            <w:pPr>
              <w:ind w:firstLine="480" w:firstLineChars="200"/>
              <w:rPr>
                <w:rFonts w:hint="default" w:ascii="Times New Roman" w:hAnsi="Times New Roman" w:eastAsia="仿宋_GB2312" w:cs="Times New Roman"/>
                <w:bCs/>
                <w:color w:val="auto"/>
                <w:kern w:val="0"/>
                <w:sz w:val="24"/>
                <w:szCs w:val="24"/>
                <w:highlight w:val="none"/>
                <w:lang w:val="en-US" w:eastAsia="zh-CN"/>
              </w:rPr>
            </w:pPr>
            <w:r>
              <w:rPr>
                <w:rFonts w:hint="default" w:ascii="Times New Roman" w:hAnsi="Times New Roman" w:eastAsia="仿宋_GB2312" w:cs="Times New Roman"/>
                <w:bCs/>
                <w:color w:val="auto"/>
                <w:kern w:val="0"/>
                <w:sz w:val="24"/>
                <w:szCs w:val="24"/>
                <w:highlight w:val="none"/>
                <w:lang w:eastAsia="zh-CN"/>
              </w:rPr>
              <w:t>（</w:t>
            </w:r>
            <w:r>
              <w:rPr>
                <w:rFonts w:hint="default" w:ascii="Times New Roman" w:hAnsi="Times New Roman" w:eastAsia="仿宋_GB2312" w:cs="Times New Roman"/>
                <w:bCs/>
                <w:color w:val="auto"/>
                <w:kern w:val="0"/>
                <w:sz w:val="24"/>
                <w:szCs w:val="24"/>
                <w:highlight w:val="none"/>
                <w:lang w:val="en-US" w:eastAsia="zh-CN"/>
              </w:rPr>
              <w:t>3</w:t>
            </w:r>
            <w:r>
              <w:rPr>
                <w:rFonts w:hint="default" w:ascii="Times New Roman" w:hAnsi="Times New Roman" w:eastAsia="仿宋_GB2312" w:cs="Times New Roman"/>
                <w:bCs/>
                <w:color w:val="auto"/>
                <w:kern w:val="0"/>
                <w:sz w:val="24"/>
                <w:szCs w:val="24"/>
                <w:highlight w:val="none"/>
                <w:lang w:eastAsia="zh-CN"/>
              </w:rPr>
              <w:t>）</w:t>
            </w:r>
            <w:r>
              <w:rPr>
                <w:rFonts w:hint="default" w:ascii="Times New Roman" w:hAnsi="Times New Roman" w:eastAsia="仿宋_GB2312" w:cs="Times New Roman"/>
                <w:bCs/>
                <w:color w:val="auto"/>
                <w:kern w:val="0"/>
                <w:sz w:val="24"/>
                <w:szCs w:val="24"/>
                <w:highlight w:val="none"/>
                <w:lang w:val="en-US" w:eastAsia="zh-CN"/>
              </w:rPr>
              <w:t>特定对象为私募投资基金的，相关锁定期安排符合《重组办法》第四十七条第三款的情况（如适用）；</w:t>
            </w:r>
          </w:p>
          <w:p w14:paraId="1F0A120D">
            <w:pPr>
              <w:ind w:firstLine="480" w:firstLineChars="200"/>
              <w:rPr>
                <w:rFonts w:hint="default" w:ascii="Times New Roman" w:hAnsi="Times New Roman" w:eastAsia="仿宋_GB2312" w:cs="Times New Roman"/>
                <w:bCs/>
                <w:color w:val="auto"/>
                <w:kern w:val="0"/>
                <w:sz w:val="24"/>
                <w:szCs w:val="24"/>
                <w:highlight w:val="none"/>
                <w:lang w:val="en-US" w:eastAsia="zh-CN"/>
              </w:rPr>
            </w:pPr>
            <w:r>
              <w:rPr>
                <w:rFonts w:hint="default" w:ascii="Times New Roman" w:hAnsi="Times New Roman" w:eastAsia="仿宋_GB2312" w:cs="Times New Roman"/>
                <w:bCs/>
                <w:color w:val="auto"/>
                <w:kern w:val="0"/>
                <w:sz w:val="24"/>
                <w:szCs w:val="24"/>
                <w:highlight w:val="none"/>
                <w:lang w:eastAsia="zh-CN"/>
              </w:rPr>
              <w:t>（</w:t>
            </w:r>
            <w:r>
              <w:rPr>
                <w:rFonts w:hint="default" w:ascii="Times New Roman" w:hAnsi="Times New Roman" w:eastAsia="仿宋_GB2312" w:cs="Times New Roman"/>
                <w:bCs/>
                <w:color w:val="auto"/>
                <w:kern w:val="0"/>
                <w:sz w:val="24"/>
                <w:szCs w:val="24"/>
                <w:highlight w:val="none"/>
                <w:lang w:val="en-US" w:eastAsia="zh-CN"/>
              </w:rPr>
              <w:t>4</w:t>
            </w:r>
            <w:r>
              <w:rPr>
                <w:rFonts w:hint="default" w:ascii="Times New Roman" w:hAnsi="Times New Roman" w:eastAsia="仿宋_GB2312" w:cs="Times New Roman"/>
                <w:bCs/>
                <w:color w:val="auto"/>
                <w:kern w:val="0"/>
                <w:sz w:val="24"/>
                <w:szCs w:val="24"/>
                <w:highlight w:val="none"/>
                <w:lang w:eastAsia="zh-CN"/>
              </w:rPr>
              <w:t>）</w:t>
            </w:r>
            <w:r>
              <w:rPr>
                <w:rFonts w:hint="default" w:ascii="Times New Roman" w:hAnsi="Times New Roman" w:eastAsia="仿宋_GB2312" w:cs="Times New Roman"/>
                <w:bCs/>
                <w:color w:val="auto"/>
                <w:kern w:val="0"/>
                <w:sz w:val="24"/>
                <w:szCs w:val="24"/>
                <w:highlight w:val="none"/>
                <w:lang w:val="en-US" w:eastAsia="zh-CN"/>
              </w:rPr>
              <w:t>上市公司之间换股吸收合并的，相关锁定期安排符合《重组办法》第五十条第二款的情况；</w:t>
            </w:r>
          </w:p>
          <w:p w14:paraId="7EEDBBB3">
            <w:pPr>
              <w:ind w:firstLine="480" w:firstLineChars="200"/>
              <w:rPr>
                <w:rFonts w:hint="default" w:ascii="Times New Roman" w:hAnsi="Times New Roman" w:eastAsia="仿宋_GB2312" w:cs="Times New Roman"/>
                <w:bCs/>
                <w:color w:val="auto"/>
                <w:kern w:val="0"/>
                <w:sz w:val="24"/>
                <w:szCs w:val="24"/>
                <w:highlight w:val="none"/>
                <w:lang w:val="en-US" w:eastAsia="zh-CN"/>
              </w:rPr>
            </w:pPr>
            <w:r>
              <w:rPr>
                <w:rFonts w:hint="default" w:ascii="Times New Roman" w:hAnsi="Times New Roman" w:eastAsia="仿宋_GB2312" w:cs="Times New Roman"/>
                <w:bCs/>
                <w:color w:val="auto"/>
                <w:kern w:val="0"/>
                <w:sz w:val="24"/>
                <w:szCs w:val="24"/>
                <w:highlight w:val="none"/>
                <w:lang w:val="en-US" w:eastAsia="zh-CN"/>
              </w:rPr>
              <w:t>（5）上市公司向控股股东、实际控制人或者其控制的关联人发行股份购买资产，或者发行股份购买资产将导致上市公司实际控制权发生变更的，相关锁定期安排符合《重组办法》第四十八条第二款的情况；</w:t>
            </w:r>
          </w:p>
          <w:p w14:paraId="03BB570E">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lang w:eastAsia="zh-CN"/>
              </w:rPr>
              <w:t>（</w:t>
            </w:r>
            <w:r>
              <w:rPr>
                <w:rFonts w:hint="default" w:ascii="Times New Roman" w:hAnsi="Times New Roman" w:eastAsia="仿宋_GB2312" w:cs="Times New Roman"/>
                <w:bCs/>
                <w:color w:val="auto"/>
                <w:kern w:val="0"/>
                <w:sz w:val="24"/>
                <w:szCs w:val="24"/>
                <w:highlight w:val="none"/>
                <w:lang w:val="en-US" w:eastAsia="zh-CN"/>
              </w:rPr>
              <w:t>6</w:t>
            </w:r>
            <w:r>
              <w:rPr>
                <w:rFonts w:hint="default" w:ascii="Times New Roman" w:hAnsi="Times New Roman" w:eastAsia="仿宋_GB2312" w:cs="Times New Roman"/>
                <w:bCs/>
                <w:color w:val="auto"/>
                <w:kern w:val="0"/>
                <w:sz w:val="24"/>
                <w:szCs w:val="24"/>
                <w:highlight w:val="none"/>
                <w:lang w:eastAsia="zh-CN"/>
              </w:rPr>
              <w:t>）</w:t>
            </w:r>
            <w:r>
              <w:rPr>
                <w:rFonts w:hint="default" w:ascii="Times New Roman" w:hAnsi="Times New Roman" w:eastAsia="仿宋_GB2312" w:cs="Times New Roman"/>
                <w:bCs/>
                <w:color w:val="auto"/>
                <w:kern w:val="0"/>
                <w:sz w:val="24"/>
                <w:szCs w:val="24"/>
                <w:highlight w:val="none"/>
              </w:rPr>
              <w:t>配套募集资金的股份锁定期符合</w:t>
            </w:r>
            <w:r>
              <w:rPr>
                <w:rFonts w:hint="default" w:ascii="Times New Roman" w:hAnsi="Times New Roman" w:eastAsia="仿宋_GB2312" w:cs="Times New Roman"/>
                <w:bCs/>
                <w:color w:val="auto"/>
                <w:kern w:val="0"/>
                <w:sz w:val="24"/>
                <w:szCs w:val="24"/>
                <w:highlight w:val="none"/>
                <w:lang w:eastAsia="zh-CN"/>
              </w:rPr>
              <w:t>《再融资办法》</w:t>
            </w:r>
            <w:r>
              <w:rPr>
                <w:rFonts w:hint="default" w:ascii="Times New Roman" w:hAnsi="Times New Roman" w:eastAsia="仿宋_GB2312" w:cs="Times New Roman"/>
                <w:bCs/>
                <w:color w:val="auto"/>
                <w:kern w:val="0"/>
                <w:sz w:val="24"/>
                <w:szCs w:val="24"/>
                <w:highlight w:val="none"/>
              </w:rPr>
              <w:t>第五十九条规定的情况；配套募集资金的</w:t>
            </w:r>
            <w:r>
              <w:rPr>
                <w:rFonts w:hint="default" w:ascii="Times New Roman" w:hAnsi="Times New Roman" w:eastAsia="仿宋_GB2312" w:cs="Times New Roman"/>
                <w:bCs/>
                <w:color w:val="auto"/>
                <w:kern w:val="0"/>
                <w:sz w:val="24"/>
                <w:szCs w:val="24"/>
                <w:highlight w:val="none"/>
                <w:lang w:eastAsia="zh-CN"/>
              </w:rPr>
              <w:t>定向可转债</w:t>
            </w:r>
            <w:r>
              <w:rPr>
                <w:rFonts w:hint="default" w:ascii="Times New Roman" w:hAnsi="Times New Roman" w:eastAsia="仿宋_GB2312" w:cs="Times New Roman"/>
                <w:bCs/>
                <w:color w:val="auto"/>
                <w:kern w:val="0"/>
                <w:sz w:val="24"/>
                <w:szCs w:val="24"/>
                <w:highlight w:val="none"/>
              </w:rPr>
              <w:t>锁定期符合</w:t>
            </w:r>
            <w:r>
              <w:rPr>
                <w:rFonts w:hint="default" w:ascii="Times New Roman" w:hAnsi="Times New Roman" w:eastAsia="仿宋_GB2312" w:cs="Times New Roman"/>
                <w:bCs/>
                <w:color w:val="auto"/>
                <w:kern w:val="0"/>
                <w:sz w:val="24"/>
                <w:szCs w:val="24"/>
                <w:highlight w:val="none"/>
                <w:lang w:eastAsia="zh-CN"/>
              </w:rPr>
              <w:t>《再融资办法》</w:t>
            </w:r>
            <w:r>
              <w:rPr>
                <w:rFonts w:hint="default" w:ascii="Times New Roman" w:hAnsi="Times New Roman" w:eastAsia="仿宋_GB2312" w:cs="Times New Roman"/>
                <w:bCs/>
                <w:color w:val="auto"/>
                <w:kern w:val="0"/>
                <w:sz w:val="24"/>
                <w:szCs w:val="24"/>
                <w:highlight w:val="none"/>
              </w:rPr>
              <w:t>第</w:t>
            </w:r>
            <w:r>
              <w:rPr>
                <w:rFonts w:hint="default" w:ascii="Times New Roman" w:hAnsi="Times New Roman" w:eastAsia="仿宋_GB2312" w:cs="Times New Roman"/>
                <w:bCs/>
                <w:color w:val="auto"/>
                <w:kern w:val="0"/>
                <w:sz w:val="24"/>
                <w:szCs w:val="24"/>
                <w:highlight w:val="none"/>
                <w:lang w:eastAsia="zh-CN"/>
              </w:rPr>
              <w:t>六十三</w:t>
            </w:r>
            <w:r>
              <w:rPr>
                <w:rFonts w:hint="default" w:ascii="Times New Roman" w:hAnsi="Times New Roman" w:eastAsia="仿宋_GB2312" w:cs="Times New Roman"/>
                <w:bCs/>
                <w:color w:val="auto"/>
                <w:kern w:val="0"/>
                <w:sz w:val="24"/>
                <w:szCs w:val="24"/>
                <w:highlight w:val="none"/>
              </w:rPr>
              <w:t>条规定的情况；</w:t>
            </w:r>
          </w:p>
          <w:p w14:paraId="3A18BA94">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w:t>
            </w:r>
            <w:r>
              <w:rPr>
                <w:rFonts w:hint="default" w:ascii="Times New Roman" w:hAnsi="Times New Roman" w:eastAsia="仿宋_GB2312" w:cs="Times New Roman"/>
                <w:bCs/>
                <w:color w:val="auto"/>
                <w:kern w:val="0"/>
                <w:sz w:val="24"/>
                <w:szCs w:val="24"/>
                <w:highlight w:val="none"/>
                <w:lang w:val="en-US" w:eastAsia="zh-CN"/>
              </w:rPr>
              <w:t>7</w:t>
            </w:r>
            <w:r>
              <w:rPr>
                <w:rFonts w:hint="default" w:ascii="Times New Roman" w:hAnsi="Times New Roman" w:eastAsia="仿宋_GB2312" w:cs="Times New Roman"/>
                <w:bCs/>
                <w:color w:val="auto"/>
                <w:kern w:val="0"/>
                <w:sz w:val="24"/>
                <w:szCs w:val="24"/>
                <w:highlight w:val="none"/>
              </w:rPr>
              <w:t>）适用《收购办法》第七十四条、第六十三条第一款第（三）项等规定的，锁定期符合相关规定的情况。</w:t>
            </w:r>
          </w:p>
        </w:tc>
        <w:tc>
          <w:tcPr>
            <w:tcW w:w="5158" w:type="dxa"/>
            <w:shd w:val="clear" w:color="auto" w:fill="auto"/>
            <w:vAlign w:val="top"/>
          </w:tcPr>
          <w:p w14:paraId="05F715FC">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独立财务顾问应对以下事项进行核查，并在《独立财务顾问报告》中发表明确核查意见：</w:t>
            </w:r>
          </w:p>
          <w:p w14:paraId="241EAF9D">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（1）核查特定对象以资产认购取得上市公司股份的锁定期是否符合《重组办法》第四十</w:t>
            </w:r>
            <w:r>
              <w:rPr>
                <w:rFonts w:hint="default" w:ascii="Times New Roman" w:hAnsi="Times New Roman" w:eastAsia="仿宋_GB2312" w:cs="Times New Roman"/>
                <w:bCs/>
                <w:color w:val="auto"/>
                <w:kern w:val="0"/>
                <w:sz w:val="24"/>
                <w:szCs w:val="24"/>
                <w:highlight w:val="none"/>
                <w:lang w:eastAsia="zh-CN"/>
              </w:rPr>
              <w:t>七</w:t>
            </w:r>
            <w:r>
              <w:rPr>
                <w:rFonts w:hint="default" w:ascii="Times New Roman" w:hAnsi="Times New Roman" w:eastAsia="仿宋_GB2312" w:cs="Times New Roman"/>
                <w:bCs/>
                <w:color w:val="auto"/>
                <w:kern w:val="0"/>
                <w:sz w:val="24"/>
                <w:szCs w:val="24"/>
                <w:highlight w:val="none"/>
              </w:rPr>
              <w:t>条第一款的规定；特定对象以资产认购取得可转债的锁定期是否符合《上市公司向特定对象发行可转换公司债券购买资产规则》第七条的规定；</w:t>
            </w:r>
          </w:p>
          <w:p w14:paraId="5660DFBB">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（2）涉及重组上市的，核查相关主体的股份锁定期是否符合《重组办法》第四十</w:t>
            </w:r>
            <w:r>
              <w:rPr>
                <w:rFonts w:hint="default" w:ascii="Times New Roman" w:hAnsi="Times New Roman" w:eastAsia="仿宋_GB2312" w:cs="Times New Roman"/>
                <w:bCs/>
                <w:color w:val="auto"/>
                <w:kern w:val="0"/>
                <w:sz w:val="24"/>
                <w:szCs w:val="24"/>
                <w:highlight w:val="none"/>
                <w:lang w:eastAsia="zh-CN"/>
              </w:rPr>
              <w:t>七</w:t>
            </w:r>
            <w:r>
              <w:rPr>
                <w:rFonts w:hint="default" w:ascii="Times New Roman" w:hAnsi="Times New Roman" w:eastAsia="仿宋_GB2312" w:cs="Times New Roman"/>
                <w:bCs/>
                <w:color w:val="auto"/>
                <w:kern w:val="0"/>
                <w:sz w:val="24"/>
                <w:szCs w:val="24"/>
                <w:highlight w:val="none"/>
              </w:rPr>
              <w:t>条第二款的规定；</w:t>
            </w:r>
          </w:p>
          <w:p w14:paraId="6EABD008">
            <w:pPr>
              <w:ind w:firstLine="480" w:firstLineChars="200"/>
              <w:rPr>
                <w:rFonts w:hint="default" w:ascii="Times New Roman" w:hAnsi="Times New Roman" w:eastAsia="仿宋_GB2312" w:cs="Times New Roman"/>
                <w:bCs/>
                <w:color w:val="auto"/>
                <w:kern w:val="0"/>
                <w:sz w:val="24"/>
                <w:szCs w:val="24"/>
                <w:highlight w:val="none"/>
                <w:lang w:val="en-US" w:eastAsia="zh-CN"/>
              </w:rPr>
            </w:pPr>
            <w:r>
              <w:rPr>
                <w:rFonts w:hint="default" w:ascii="Times New Roman" w:hAnsi="Times New Roman" w:eastAsia="仿宋_GB2312" w:cs="Times New Roman"/>
                <w:bCs/>
                <w:color w:val="auto"/>
                <w:kern w:val="0"/>
                <w:sz w:val="24"/>
                <w:szCs w:val="24"/>
                <w:highlight w:val="none"/>
                <w:lang w:eastAsia="zh-CN"/>
              </w:rPr>
              <w:t>（</w:t>
            </w:r>
            <w:r>
              <w:rPr>
                <w:rFonts w:hint="default" w:ascii="Times New Roman" w:hAnsi="Times New Roman" w:eastAsia="仿宋_GB2312" w:cs="Times New Roman"/>
                <w:bCs/>
                <w:color w:val="auto"/>
                <w:kern w:val="0"/>
                <w:sz w:val="24"/>
                <w:szCs w:val="24"/>
                <w:highlight w:val="none"/>
                <w:lang w:val="en-US" w:eastAsia="zh-CN"/>
              </w:rPr>
              <w:t>3</w:t>
            </w:r>
            <w:r>
              <w:rPr>
                <w:rFonts w:hint="default" w:ascii="Times New Roman" w:hAnsi="Times New Roman" w:eastAsia="仿宋_GB2312" w:cs="Times New Roman"/>
                <w:bCs/>
                <w:color w:val="auto"/>
                <w:kern w:val="0"/>
                <w:sz w:val="24"/>
                <w:szCs w:val="24"/>
                <w:highlight w:val="none"/>
                <w:lang w:eastAsia="zh-CN"/>
              </w:rPr>
              <w:t>）</w:t>
            </w:r>
            <w:r>
              <w:rPr>
                <w:rFonts w:hint="default" w:ascii="Times New Roman" w:hAnsi="Times New Roman" w:eastAsia="仿宋_GB2312" w:cs="Times New Roman"/>
                <w:bCs/>
                <w:color w:val="auto"/>
                <w:kern w:val="0"/>
                <w:sz w:val="24"/>
                <w:szCs w:val="24"/>
                <w:highlight w:val="none"/>
                <w:lang w:val="en-US" w:eastAsia="zh-CN"/>
              </w:rPr>
              <w:t>特定对象为私募投资基金的，核查相关锁定期安排是否符合《重组办法》第四十七条第三款相关规定；</w:t>
            </w:r>
          </w:p>
          <w:p w14:paraId="4700922A">
            <w:pPr>
              <w:ind w:firstLine="480" w:firstLineChars="200"/>
              <w:rPr>
                <w:rFonts w:hint="default" w:ascii="Times New Roman" w:hAnsi="Times New Roman" w:eastAsia="仿宋_GB2312" w:cs="Times New Roman"/>
                <w:bCs/>
                <w:color w:val="auto"/>
                <w:kern w:val="0"/>
                <w:sz w:val="24"/>
                <w:szCs w:val="24"/>
                <w:highlight w:val="none"/>
                <w:lang w:val="en-US" w:eastAsia="zh-CN"/>
              </w:rPr>
            </w:pPr>
            <w:r>
              <w:rPr>
                <w:rFonts w:hint="default" w:ascii="Times New Roman" w:hAnsi="Times New Roman" w:eastAsia="仿宋_GB2312" w:cs="Times New Roman"/>
                <w:bCs/>
                <w:color w:val="auto"/>
                <w:kern w:val="0"/>
                <w:sz w:val="24"/>
                <w:szCs w:val="24"/>
                <w:highlight w:val="none"/>
                <w:lang w:eastAsia="zh-CN"/>
              </w:rPr>
              <w:t>（</w:t>
            </w:r>
            <w:r>
              <w:rPr>
                <w:rFonts w:hint="default" w:ascii="Times New Roman" w:hAnsi="Times New Roman" w:eastAsia="仿宋_GB2312" w:cs="Times New Roman"/>
                <w:bCs/>
                <w:color w:val="auto"/>
                <w:kern w:val="0"/>
                <w:sz w:val="24"/>
                <w:szCs w:val="24"/>
                <w:highlight w:val="none"/>
                <w:lang w:val="en-US" w:eastAsia="zh-CN"/>
              </w:rPr>
              <w:t>4</w:t>
            </w:r>
            <w:r>
              <w:rPr>
                <w:rFonts w:hint="default" w:ascii="Times New Roman" w:hAnsi="Times New Roman" w:eastAsia="仿宋_GB2312" w:cs="Times New Roman"/>
                <w:bCs/>
                <w:color w:val="auto"/>
                <w:kern w:val="0"/>
                <w:sz w:val="24"/>
                <w:szCs w:val="24"/>
                <w:highlight w:val="none"/>
                <w:lang w:eastAsia="zh-CN"/>
              </w:rPr>
              <w:t>）</w:t>
            </w:r>
            <w:r>
              <w:rPr>
                <w:rFonts w:hint="default" w:ascii="Times New Roman" w:hAnsi="Times New Roman" w:eastAsia="仿宋_GB2312" w:cs="Times New Roman"/>
                <w:bCs/>
                <w:color w:val="auto"/>
                <w:kern w:val="0"/>
                <w:sz w:val="24"/>
                <w:szCs w:val="24"/>
                <w:highlight w:val="none"/>
                <w:lang w:val="en-US" w:eastAsia="zh-CN"/>
              </w:rPr>
              <w:t>上市公司之间换股吸收合并的，核查相关锁定期安排是否符合《重组办法》第五十条第二款相关规定；</w:t>
            </w:r>
          </w:p>
          <w:p w14:paraId="2A638E99">
            <w:pPr>
              <w:ind w:firstLine="480" w:firstLineChars="200"/>
              <w:rPr>
                <w:rFonts w:hint="default" w:ascii="Times New Roman" w:hAnsi="Times New Roman" w:eastAsia="仿宋_GB2312" w:cs="Times New Roman"/>
                <w:bCs/>
                <w:color w:val="auto"/>
                <w:kern w:val="0"/>
                <w:sz w:val="24"/>
                <w:szCs w:val="24"/>
                <w:highlight w:val="none"/>
                <w:lang w:val="en-US" w:eastAsia="zh-CN"/>
              </w:rPr>
            </w:pPr>
            <w:r>
              <w:rPr>
                <w:rFonts w:hint="default" w:ascii="Times New Roman" w:hAnsi="Times New Roman" w:eastAsia="仿宋_GB2312" w:cs="Times New Roman"/>
                <w:bCs/>
                <w:color w:val="auto"/>
                <w:kern w:val="0"/>
                <w:sz w:val="24"/>
                <w:szCs w:val="24"/>
                <w:highlight w:val="none"/>
                <w:lang w:val="en-US" w:eastAsia="zh-CN"/>
              </w:rPr>
              <w:t>（5）上市公司向控股股东、实际控制人或者其控制的关联人发行股份购买资产，或者发行股份购买资产将导致上市公司实际控制权发生变更的，核查相关锁定期安排是否符合《重组办法》第四十八条第二款相关规定；</w:t>
            </w:r>
          </w:p>
          <w:p w14:paraId="433405EF">
            <w:pPr>
              <w:ind w:firstLine="480" w:firstLineChars="200"/>
              <w:rPr>
                <w:rFonts w:hint="default" w:ascii="Times New Roman" w:hAnsi="Times New Roman" w:eastAsia="仿宋_GB2312" w:cs="Times New Roman"/>
                <w:bCs/>
                <w:color w:val="auto"/>
                <w:kern w:val="0"/>
                <w:sz w:val="24"/>
                <w:szCs w:val="24"/>
                <w:highlight w:val="none"/>
                <w:lang w:val="en-US" w:eastAsia="zh-CN"/>
              </w:rPr>
            </w:pPr>
            <w:r>
              <w:rPr>
                <w:rFonts w:hint="default" w:ascii="Times New Roman" w:hAnsi="Times New Roman" w:eastAsia="仿宋_GB2312" w:cs="Times New Roman"/>
                <w:bCs/>
                <w:color w:val="auto"/>
                <w:kern w:val="0"/>
                <w:sz w:val="24"/>
                <w:szCs w:val="24"/>
                <w:highlight w:val="none"/>
                <w:lang w:val="en-US" w:eastAsia="zh-CN"/>
              </w:rPr>
              <w:t>（6）分期发行股份支付购买资产对价的，核查特定对象以资产认购而取得的上市公司股份，锁定期是否自首期发行结束之日起算；</w:t>
            </w:r>
          </w:p>
          <w:p w14:paraId="2E12D1C6">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w:t>
            </w:r>
            <w:r>
              <w:rPr>
                <w:rFonts w:hint="default" w:ascii="Times New Roman" w:hAnsi="Times New Roman" w:eastAsia="仿宋_GB2312" w:cs="Times New Roman"/>
                <w:bCs/>
                <w:color w:val="auto"/>
                <w:kern w:val="0"/>
                <w:sz w:val="24"/>
                <w:szCs w:val="24"/>
                <w:highlight w:val="none"/>
                <w:lang w:val="en-US" w:eastAsia="zh-CN"/>
              </w:rPr>
              <w:t>7</w:t>
            </w:r>
            <w:r>
              <w:rPr>
                <w:rFonts w:hint="default" w:ascii="Times New Roman" w:hAnsi="Times New Roman" w:eastAsia="仿宋_GB2312" w:cs="Times New Roman"/>
                <w:bCs/>
                <w:color w:val="auto"/>
                <w:kern w:val="0"/>
                <w:sz w:val="24"/>
                <w:szCs w:val="24"/>
                <w:highlight w:val="none"/>
              </w:rPr>
              <w:t>）核查配套募集资金的股份锁定期是否符合</w:t>
            </w:r>
            <w:r>
              <w:rPr>
                <w:rFonts w:hint="default" w:ascii="Times New Roman" w:hAnsi="Times New Roman" w:eastAsia="仿宋_GB2312" w:cs="Times New Roman"/>
                <w:bCs/>
                <w:color w:val="auto"/>
                <w:kern w:val="0"/>
                <w:sz w:val="24"/>
                <w:szCs w:val="24"/>
                <w:highlight w:val="none"/>
                <w:lang w:eastAsia="zh-CN"/>
              </w:rPr>
              <w:t>《再融资办法》</w:t>
            </w:r>
            <w:r>
              <w:rPr>
                <w:rFonts w:hint="default" w:ascii="Times New Roman" w:hAnsi="Times New Roman" w:eastAsia="仿宋_GB2312" w:cs="Times New Roman"/>
                <w:bCs/>
                <w:color w:val="auto"/>
                <w:kern w:val="0"/>
                <w:sz w:val="24"/>
                <w:szCs w:val="24"/>
                <w:highlight w:val="none"/>
              </w:rPr>
              <w:t>第五十九条的相关规定；核查配套募集资金的可转债锁定期是否符合</w:t>
            </w:r>
            <w:r>
              <w:rPr>
                <w:rFonts w:hint="default" w:ascii="Times New Roman" w:hAnsi="Times New Roman" w:eastAsia="仿宋_GB2312" w:cs="Times New Roman"/>
                <w:bCs/>
                <w:color w:val="auto"/>
                <w:kern w:val="0"/>
                <w:sz w:val="24"/>
                <w:szCs w:val="24"/>
                <w:highlight w:val="none"/>
                <w:lang w:eastAsia="zh-CN"/>
              </w:rPr>
              <w:t>《再融资办法》</w:t>
            </w:r>
            <w:r>
              <w:rPr>
                <w:rFonts w:hint="default" w:ascii="Times New Roman" w:hAnsi="Times New Roman" w:eastAsia="仿宋_GB2312" w:cs="Times New Roman"/>
                <w:bCs/>
                <w:color w:val="auto"/>
                <w:kern w:val="0"/>
                <w:sz w:val="24"/>
                <w:szCs w:val="24"/>
                <w:highlight w:val="none"/>
              </w:rPr>
              <w:t>第六十三条的相关规定；</w:t>
            </w:r>
          </w:p>
          <w:p w14:paraId="43604F5C">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w:t>
            </w:r>
            <w:r>
              <w:rPr>
                <w:rFonts w:hint="default" w:ascii="Times New Roman" w:hAnsi="Times New Roman" w:eastAsia="仿宋_GB2312" w:cs="Times New Roman"/>
                <w:bCs/>
                <w:color w:val="auto"/>
                <w:kern w:val="0"/>
                <w:sz w:val="24"/>
                <w:szCs w:val="24"/>
                <w:highlight w:val="none"/>
                <w:lang w:val="en-US" w:eastAsia="zh-CN"/>
              </w:rPr>
              <w:t>8</w:t>
            </w:r>
            <w:r>
              <w:rPr>
                <w:rFonts w:hint="default" w:ascii="Times New Roman" w:hAnsi="Times New Roman" w:eastAsia="仿宋_GB2312" w:cs="Times New Roman"/>
                <w:bCs/>
                <w:color w:val="auto"/>
                <w:kern w:val="0"/>
                <w:sz w:val="24"/>
                <w:szCs w:val="24"/>
                <w:highlight w:val="none"/>
              </w:rPr>
              <w:t>）适用《收购办法》</w:t>
            </w:r>
            <w:r>
              <w:rPr>
                <w:rFonts w:hint="default" w:ascii="Times New Roman" w:hAnsi="Times New Roman" w:eastAsia="仿宋_GB2312" w:cs="Times New Roman"/>
                <w:bCs/>
                <w:color w:val="auto"/>
                <w:kern w:val="0"/>
                <w:sz w:val="24"/>
                <w:szCs w:val="24"/>
                <w:highlight w:val="none"/>
                <w:lang w:eastAsia="zh-CN"/>
              </w:rPr>
              <w:t>第七十四条、</w:t>
            </w:r>
            <w:r>
              <w:rPr>
                <w:rFonts w:hint="default" w:ascii="Times New Roman" w:hAnsi="Times New Roman" w:eastAsia="仿宋_GB2312" w:cs="Times New Roman"/>
                <w:bCs/>
                <w:color w:val="auto"/>
                <w:kern w:val="0"/>
                <w:sz w:val="24"/>
                <w:szCs w:val="24"/>
                <w:highlight w:val="none"/>
              </w:rPr>
              <w:t>第六十三条第一款第</w:t>
            </w:r>
            <w:r>
              <w:rPr>
                <w:rFonts w:hint="default" w:ascii="Times New Roman" w:hAnsi="Times New Roman" w:eastAsia="仿宋_GB2312" w:cs="Times New Roman"/>
                <w:bCs/>
                <w:color w:val="auto"/>
                <w:kern w:val="0"/>
                <w:sz w:val="24"/>
                <w:szCs w:val="24"/>
                <w:highlight w:val="none"/>
                <w:lang w:eastAsia="zh-CN"/>
              </w:rPr>
              <w:t>（</w:t>
            </w:r>
            <w:r>
              <w:rPr>
                <w:rFonts w:hint="default" w:ascii="Times New Roman" w:hAnsi="Times New Roman" w:eastAsia="仿宋_GB2312" w:cs="Times New Roman"/>
                <w:bCs/>
                <w:color w:val="auto"/>
                <w:kern w:val="0"/>
                <w:sz w:val="24"/>
                <w:szCs w:val="24"/>
                <w:highlight w:val="none"/>
              </w:rPr>
              <w:t>三</w:t>
            </w:r>
            <w:r>
              <w:rPr>
                <w:rFonts w:hint="default" w:ascii="Times New Roman" w:hAnsi="Times New Roman" w:eastAsia="仿宋_GB2312" w:cs="Times New Roman"/>
                <w:bCs/>
                <w:color w:val="auto"/>
                <w:kern w:val="0"/>
                <w:sz w:val="24"/>
                <w:szCs w:val="24"/>
                <w:highlight w:val="none"/>
                <w:lang w:eastAsia="zh-CN"/>
              </w:rPr>
              <w:t>）</w:t>
            </w:r>
            <w:r>
              <w:rPr>
                <w:rFonts w:hint="default" w:ascii="Times New Roman" w:hAnsi="Times New Roman" w:eastAsia="仿宋_GB2312" w:cs="Times New Roman"/>
                <w:bCs/>
                <w:color w:val="auto"/>
                <w:kern w:val="0"/>
                <w:sz w:val="24"/>
                <w:szCs w:val="24"/>
                <w:highlight w:val="none"/>
              </w:rPr>
              <w:t>项</w:t>
            </w:r>
            <w:r>
              <w:rPr>
                <w:rFonts w:hint="default" w:ascii="Times New Roman" w:hAnsi="Times New Roman" w:eastAsia="仿宋_GB2312" w:cs="Times New Roman"/>
                <w:bCs/>
                <w:color w:val="auto"/>
                <w:kern w:val="0"/>
                <w:sz w:val="24"/>
                <w:szCs w:val="24"/>
                <w:highlight w:val="none"/>
                <w:lang w:eastAsia="zh-CN"/>
              </w:rPr>
              <w:t>等</w:t>
            </w:r>
            <w:r>
              <w:rPr>
                <w:rFonts w:hint="default" w:ascii="Times New Roman" w:hAnsi="Times New Roman" w:eastAsia="仿宋_GB2312" w:cs="Times New Roman"/>
                <w:bCs/>
                <w:color w:val="auto"/>
                <w:kern w:val="0"/>
                <w:sz w:val="24"/>
                <w:szCs w:val="24"/>
                <w:highlight w:val="none"/>
              </w:rPr>
              <w:t>规定的，核查锁定期是否符合相关规定。</w:t>
            </w:r>
          </w:p>
          <w:p w14:paraId="014B098B">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律师应对上述事项进行核查，并发表明确核查意见。</w:t>
            </w:r>
          </w:p>
        </w:tc>
        <w:tc>
          <w:tcPr>
            <w:tcW w:w="1738" w:type="dxa"/>
            <w:shd w:val="clear" w:color="auto" w:fill="auto"/>
            <w:vAlign w:val="top"/>
          </w:tcPr>
          <w:p w14:paraId="667C6B52">
            <w:pPr>
              <w:pStyle w:val="25"/>
              <w:jc w:val="both"/>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color w:val="auto"/>
                <w:kern w:val="2"/>
                <w:sz w:val="24"/>
                <w:szCs w:val="24"/>
                <w:highlight w:val="none"/>
              </w:rPr>
              <w:t>《重组办法》第四十</w:t>
            </w:r>
            <w:r>
              <w:rPr>
                <w:rFonts w:hint="default" w:ascii="Times New Roman" w:hAnsi="Times New Roman" w:eastAsia="仿宋_GB2312" w:cs="Times New Roman"/>
                <w:color w:val="auto"/>
                <w:kern w:val="2"/>
                <w:sz w:val="24"/>
                <w:szCs w:val="24"/>
                <w:highlight w:val="none"/>
                <w:lang w:eastAsia="zh-CN"/>
              </w:rPr>
              <w:t>七</w:t>
            </w:r>
            <w:r>
              <w:rPr>
                <w:rFonts w:hint="default" w:ascii="Times New Roman" w:hAnsi="Times New Roman" w:eastAsia="仿宋_GB2312" w:cs="Times New Roman"/>
                <w:color w:val="auto"/>
                <w:kern w:val="2"/>
                <w:sz w:val="24"/>
                <w:szCs w:val="24"/>
                <w:highlight w:val="none"/>
              </w:rPr>
              <w:t>条</w:t>
            </w:r>
            <w:r>
              <w:rPr>
                <w:rFonts w:hint="default" w:ascii="Times New Roman" w:hAnsi="Times New Roman" w:eastAsia="仿宋_GB2312" w:cs="Times New Roman"/>
                <w:color w:val="auto"/>
                <w:kern w:val="2"/>
                <w:sz w:val="24"/>
                <w:szCs w:val="24"/>
                <w:highlight w:val="none"/>
                <w:lang w:eastAsia="zh-CN"/>
              </w:rPr>
              <w:t>、第四十八条、</w:t>
            </w:r>
            <w:r>
              <w:rPr>
                <w:rFonts w:hint="default" w:ascii="Times New Roman" w:hAnsi="Times New Roman" w:eastAsia="仿宋_GB2312" w:cs="Times New Roman"/>
                <w:color w:val="auto"/>
                <w:kern w:val="2"/>
                <w:sz w:val="24"/>
                <w:szCs w:val="24"/>
                <w:highlight w:val="none"/>
                <w:lang w:val="en-US" w:eastAsia="zh-CN"/>
              </w:rPr>
              <w:t>第五十条</w:t>
            </w:r>
            <w:r>
              <w:rPr>
                <w:rFonts w:hint="default" w:ascii="Times New Roman" w:hAnsi="Times New Roman" w:eastAsia="仿宋_GB2312" w:cs="Times New Roman"/>
                <w:color w:val="auto"/>
                <w:sz w:val="24"/>
                <w:szCs w:val="24"/>
                <w:highlight w:val="none"/>
              </w:rPr>
              <w:t>，</w:t>
            </w:r>
            <w:r>
              <w:rPr>
                <w:rFonts w:hint="default" w:ascii="Times New Roman" w:hAnsi="Times New Roman" w:eastAsia="仿宋_GB2312" w:cs="Times New Roman"/>
                <w:color w:val="auto"/>
                <w:kern w:val="2"/>
                <w:sz w:val="24"/>
                <w:szCs w:val="24"/>
                <w:highlight w:val="none"/>
                <w:lang w:eastAsia="zh-CN"/>
              </w:rPr>
              <w:t>《再融资办法》</w:t>
            </w:r>
            <w:r>
              <w:rPr>
                <w:rFonts w:hint="default" w:ascii="Times New Roman" w:hAnsi="Times New Roman" w:eastAsia="仿宋_GB2312" w:cs="Times New Roman"/>
                <w:color w:val="auto"/>
                <w:kern w:val="2"/>
                <w:sz w:val="24"/>
                <w:szCs w:val="24"/>
                <w:highlight w:val="none"/>
              </w:rPr>
              <w:t>第五十九条</w:t>
            </w:r>
            <w:r>
              <w:rPr>
                <w:rFonts w:hint="default" w:ascii="Times New Roman" w:hAnsi="Times New Roman" w:eastAsia="仿宋_GB2312" w:cs="Times New Roman"/>
                <w:color w:val="auto"/>
                <w:kern w:val="2"/>
                <w:sz w:val="24"/>
                <w:szCs w:val="24"/>
                <w:highlight w:val="none"/>
                <w:lang w:eastAsia="zh-CN"/>
              </w:rPr>
              <w:t>、第六十三条</w:t>
            </w:r>
            <w:r>
              <w:rPr>
                <w:rFonts w:hint="default" w:ascii="Times New Roman" w:hAnsi="Times New Roman" w:eastAsia="仿宋_GB2312" w:cs="Times New Roman"/>
                <w:color w:val="auto"/>
                <w:sz w:val="24"/>
                <w:szCs w:val="24"/>
                <w:highlight w:val="none"/>
              </w:rPr>
              <w:t>，</w:t>
            </w:r>
            <w:r>
              <w:rPr>
                <w:rFonts w:hint="default" w:ascii="Times New Roman" w:hAnsi="Times New Roman" w:eastAsia="仿宋_GB2312" w:cs="Times New Roman"/>
                <w:color w:val="auto"/>
                <w:kern w:val="2"/>
                <w:sz w:val="24"/>
                <w:szCs w:val="24"/>
                <w:highlight w:val="none"/>
              </w:rPr>
              <w:t>《收购办法》第六十三条</w:t>
            </w:r>
            <w:r>
              <w:rPr>
                <w:rFonts w:hint="default" w:ascii="Times New Roman" w:hAnsi="Times New Roman" w:eastAsia="仿宋_GB2312" w:cs="Times New Roman"/>
                <w:color w:val="auto"/>
                <w:kern w:val="2"/>
                <w:sz w:val="24"/>
                <w:szCs w:val="24"/>
                <w:highlight w:val="none"/>
                <w:lang w:eastAsia="zh-CN"/>
              </w:rPr>
              <w:t>、</w:t>
            </w:r>
            <w:r>
              <w:rPr>
                <w:rFonts w:hint="default" w:ascii="Times New Roman" w:hAnsi="Times New Roman" w:eastAsia="仿宋_GB2312" w:cs="Times New Roman"/>
                <w:color w:val="auto"/>
                <w:kern w:val="2"/>
                <w:sz w:val="24"/>
                <w:szCs w:val="24"/>
                <w:highlight w:val="none"/>
                <w:lang w:val="en-US" w:eastAsia="zh-CN"/>
              </w:rPr>
              <w:t>第七十四条</w:t>
            </w:r>
            <w:r>
              <w:rPr>
                <w:rFonts w:hint="default" w:ascii="Times New Roman" w:hAnsi="Times New Roman" w:eastAsia="仿宋_GB2312" w:cs="Times New Roman"/>
                <w:color w:val="auto"/>
                <w:kern w:val="2"/>
                <w:sz w:val="24"/>
                <w:szCs w:val="24"/>
                <w:highlight w:val="none"/>
              </w:rPr>
              <w:t>，</w:t>
            </w:r>
            <w:r>
              <w:rPr>
                <w:rFonts w:hint="default" w:ascii="Times New Roman" w:hAnsi="Times New Roman" w:eastAsia="仿宋_GB2312" w:cs="Times New Roman"/>
                <w:bCs/>
                <w:color w:val="auto"/>
                <w:sz w:val="24"/>
                <w:szCs w:val="24"/>
                <w:highlight w:val="none"/>
              </w:rPr>
              <w:t>《上市公司向特定对象发行可转换公司债券购买资产规则》第七条</w:t>
            </w:r>
          </w:p>
        </w:tc>
      </w:tr>
      <w:tr w14:paraId="5A84E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291" w:type="pct"/>
            <w:shd w:val="clear" w:color="auto" w:fill="auto"/>
            <w:vAlign w:val="center"/>
          </w:tcPr>
          <w:p w14:paraId="1D1A1B41">
            <w:pPr>
              <w:jc w:val="center"/>
              <w:rPr>
                <w:rFonts w:hint="default" w:ascii="Times New Roman" w:hAnsi="Times New Roman" w:eastAsia="仿宋_GB2312" w:cs="Times New Roman"/>
                <w:b/>
                <w:bCs/>
                <w:color w:val="auto"/>
                <w:kern w:val="0"/>
                <w:sz w:val="24"/>
                <w:szCs w:val="24"/>
                <w:highlight w:val="none"/>
              </w:rPr>
            </w:pPr>
            <w:r>
              <w:rPr>
                <w:rFonts w:hint="default" w:ascii="Times New Roman" w:hAnsi="Times New Roman" w:eastAsia="仿宋_GB2312" w:cs="Times New Roman"/>
                <w:b/>
                <w:bCs/>
                <w:color w:val="auto"/>
                <w:kern w:val="0"/>
                <w:sz w:val="24"/>
                <w:szCs w:val="24"/>
                <w:highlight w:val="none"/>
              </w:rPr>
              <w:t>1-10</w:t>
            </w:r>
          </w:p>
        </w:tc>
        <w:tc>
          <w:tcPr>
            <w:tcW w:w="499" w:type="pct"/>
            <w:shd w:val="clear" w:color="auto" w:fill="auto"/>
            <w:vAlign w:val="center"/>
          </w:tcPr>
          <w:p w14:paraId="582B6320">
            <w:pPr>
              <w:pStyle w:val="25"/>
              <w:jc w:val="both"/>
              <w:rPr>
                <w:rFonts w:hint="default" w:ascii="Times New Roman" w:hAnsi="Times New Roman" w:eastAsia="仿宋_GB2312" w:cs="Times New Roman"/>
                <w:b/>
                <w:bCs/>
                <w:strike/>
                <w:color w:val="auto"/>
                <w:sz w:val="24"/>
                <w:szCs w:val="24"/>
                <w:highlight w:val="none"/>
              </w:rPr>
            </w:pPr>
            <w:r>
              <w:rPr>
                <w:rFonts w:hint="default" w:ascii="Times New Roman" w:hAnsi="Times New Roman" w:eastAsia="仿宋_GB2312" w:cs="Times New Roman"/>
                <w:b/>
                <w:bCs/>
                <w:color w:val="auto"/>
                <w:sz w:val="24"/>
                <w:szCs w:val="24"/>
                <w:highlight w:val="none"/>
              </w:rPr>
              <w:t>过渡期损益安排</w:t>
            </w:r>
          </w:p>
        </w:tc>
        <w:tc>
          <w:tcPr>
            <w:tcW w:w="1747" w:type="pct"/>
            <w:shd w:val="clear" w:color="auto" w:fill="auto"/>
          </w:tcPr>
          <w:p w14:paraId="6F45220E">
            <w:pPr>
              <w:ind w:firstLine="480" w:firstLineChars="200"/>
              <w:rPr>
                <w:rFonts w:hint="default" w:ascii="Times New Roman" w:hAnsi="Times New Roman" w:eastAsia="仿宋_GB2312" w:cs="Times New Roman"/>
                <w:bCs/>
                <w:strike/>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上市公司应当在重组报告书中披露标的资产在过渡期间的损益安排。</w:t>
            </w:r>
          </w:p>
        </w:tc>
        <w:tc>
          <w:tcPr>
            <w:tcW w:w="1840" w:type="pct"/>
            <w:shd w:val="clear" w:color="auto" w:fill="auto"/>
          </w:tcPr>
          <w:p w14:paraId="6306C85B">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独立财务顾问应对以下事项进行核查，并在《独立财务顾问报告》中发表明确核查意见：</w:t>
            </w:r>
          </w:p>
          <w:p w14:paraId="52FFC830">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（1）拟购买资产以基于未来收益预期的估值方法作为主要评估方法的，过渡期损益安排是否符合《监管规则适用指引——上市类第1号》1-6的规定</w:t>
            </w:r>
            <w:r>
              <w:rPr>
                <w:rFonts w:hint="eastAsia" w:ascii="Times New Roman" w:hAnsi="Times New Roman" w:eastAsia="仿宋_GB2312" w:cs="Times New Roman"/>
                <w:bCs/>
                <w:color w:val="auto"/>
                <w:kern w:val="0"/>
                <w:sz w:val="24"/>
                <w:szCs w:val="24"/>
                <w:highlight w:val="none"/>
                <w:lang w:eastAsia="zh-CN"/>
              </w:rPr>
              <w:t>；</w:t>
            </w:r>
          </w:p>
          <w:p w14:paraId="438E2D5F">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（2）标的资产以资产基础法等作为主要评估方法的，过渡期损益安排的合理性。</w:t>
            </w:r>
          </w:p>
          <w:p w14:paraId="2EE2E559">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律师应对上述事项进行核查，并</w:t>
            </w:r>
            <w:r>
              <w:rPr>
                <w:rFonts w:hint="default" w:ascii="Times New Roman" w:hAnsi="Times New Roman" w:eastAsia="仿宋_GB2312" w:cs="Times New Roman"/>
                <w:bCs/>
                <w:color w:val="auto"/>
                <w:kern w:val="0"/>
                <w:sz w:val="24"/>
                <w:szCs w:val="24"/>
                <w:highlight w:val="none"/>
                <w:lang w:eastAsia="zh-CN"/>
              </w:rPr>
              <w:t>发</w:t>
            </w:r>
            <w:r>
              <w:rPr>
                <w:rFonts w:hint="default" w:ascii="Times New Roman" w:hAnsi="Times New Roman" w:eastAsia="仿宋_GB2312" w:cs="Times New Roman"/>
                <w:bCs/>
                <w:color w:val="auto"/>
                <w:kern w:val="0"/>
                <w:sz w:val="24"/>
                <w:szCs w:val="24"/>
                <w:highlight w:val="none"/>
              </w:rPr>
              <w:t>表明确核查意见。</w:t>
            </w:r>
          </w:p>
        </w:tc>
        <w:tc>
          <w:tcPr>
            <w:tcW w:w="620" w:type="pct"/>
            <w:shd w:val="clear" w:color="auto" w:fill="auto"/>
          </w:tcPr>
          <w:p w14:paraId="61576CC5">
            <w:pPr>
              <w:pStyle w:val="25"/>
              <w:jc w:val="both"/>
              <w:rPr>
                <w:rFonts w:hint="default" w:ascii="Times New Roman" w:hAnsi="Times New Roman" w:eastAsia="仿宋_GB2312" w:cs="Times New Roman"/>
                <w:bCs/>
                <w:color w:val="auto"/>
                <w:sz w:val="24"/>
                <w:szCs w:val="24"/>
                <w:highlight w:val="none"/>
              </w:rPr>
            </w:pPr>
            <w:r>
              <w:rPr>
                <w:rFonts w:hint="default" w:ascii="Times New Roman" w:hAnsi="Times New Roman" w:eastAsia="仿宋_GB2312" w:cs="Times New Roman"/>
                <w:color w:val="auto"/>
                <w:kern w:val="2"/>
                <w:sz w:val="24"/>
                <w:szCs w:val="24"/>
                <w:highlight w:val="none"/>
              </w:rPr>
              <w:t>《监管规则适用指引——上市类第1号》1-6</w:t>
            </w:r>
          </w:p>
        </w:tc>
      </w:tr>
      <w:tr w14:paraId="2012D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291" w:type="pct"/>
            <w:shd w:val="clear" w:color="auto" w:fill="auto"/>
            <w:vAlign w:val="center"/>
          </w:tcPr>
          <w:p w14:paraId="5FA348AA">
            <w:pPr>
              <w:jc w:val="center"/>
              <w:rPr>
                <w:rFonts w:hint="default" w:ascii="Times New Roman" w:hAnsi="Times New Roman" w:eastAsia="仿宋_GB2312" w:cs="Times New Roman"/>
                <w:b/>
                <w:bCs/>
                <w:color w:val="auto"/>
                <w:kern w:val="0"/>
                <w:sz w:val="24"/>
                <w:szCs w:val="24"/>
                <w:highlight w:val="none"/>
              </w:rPr>
            </w:pPr>
            <w:r>
              <w:rPr>
                <w:rFonts w:hint="default" w:ascii="Times New Roman" w:hAnsi="Times New Roman" w:eastAsia="仿宋_GB2312" w:cs="Times New Roman"/>
                <w:b/>
                <w:bCs/>
                <w:color w:val="auto"/>
                <w:kern w:val="0"/>
                <w:sz w:val="24"/>
                <w:szCs w:val="24"/>
                <w:highlight w:val="none"/>
              </w:rPr>
              <w:t>1-11</w:t>
            </w:r>
          </w:p>
        </w:tc>
        <w:tc>
          <w:tcPr>
            <w:tcW w:w="499" w:type="pct"/>
            <w:shd w:val="clear" w:color="auto" w:fill="auto"/>
            <w:vAlign w:val="center"/>
          </w:tcPr>
          <w:p w14:paraId="4E121F3E">
            <w:pPr>
              <w:pStyle w:val="25"/>
              <w:jc w:val="both"/>
              <w:rPr>
                <w:rFonts w:hint="default" w:ascii="Times New Roman" w:hAnsi="Times New Roman" w:eastAsia="仿宋_GB2312" w:cs="Times New Roman"/>
                <w:b/>
                <w:bCs/>
                <w:color w:val="auto"/>
                <w:sz w:val="24"/>
                <w:szCs w:val="24"/>
                <w:highlight w:val="none"/>
              </w:rPr>
            </w:pPr>
            <w:r>
              <w:rPr>
                <w:rFonts w:hint="default" w:ascii="Times New Roman" w:hAnsi="Times New Roman" w:eastAsia="仿宋_GB2312" w:cs="Times New Roman"/>
                <w:b/>
                <w:bCs/>
                <w:color w:val="auto"/>
                <w:sz w:val="24"/>
                <w:szCs w:val="24"/>
                <w:highlight w:val="none"/>
              </w:rPr>
              <w:t>收购少数股权（参股权）</w:t>
            </w:r>
          </w:p>
        </w:tc>
        <w:tc>
          <w:tcPr>
            <w:tcW w:w="1747" w:type="pct"/>
            <w:shd w:val="clear" w:color="auto" w:fill="auto"/>
          </w:tcPr>
          <w:p w14:paraId="5F092D2F">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上市公司应当在重组报告书中披露：</w:t>
            </w:r>
          </w:p>
          <w:p w14:paraId="6B619B62">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（1）少数股权与上市公司现有主营业务的协同效应，或者与本次拟购买的主要标的资产是否属于同行业或紧密相关的上下游行业，通过本次交易一并注入是否有助于增强上市公司独立性、提升上市公司整体质量</w:t>
            </w:r>
            <w:r>
              <w:rPr>
                <w:rFonts w:hint="eastAsia" w:ascii="Times New Roman" w:hAnsi="Times New Roman" w:eastAsia="仿宋_GB2312" w:cs="Times New Roman"/>
                <w:bCs/>
                <w:color w:val="auto"/>
                <w:kern w:val="0"/>
                <w:sz w:val="24"/>
                <w:szCs w:val="24"/>
                <w:highlight w:val="none"/>
                <w:lang w:eastAsia="zh-CN"/>
              </w:rPr>
              <w:t>；</w:t>
            </w:r>
          </w:p>
          <w:p w14:paraId="40D0EC01">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（2）交易完成后上市公司是否拥有具体的主营业务和相应的持续经营能力，净利润是否主要来自合并财务报表范围以外投资收益</w:t>
            </w:r>
            <w:r>
              <w:rPr>
                <w:rFonts w:hint="eastAsia" w:ascii="Times New Roman" w:hAnsi="Times New Roman" w:eastAsia="仿宋_GB2312" w:cs="Times New Roman"/>
                <w:bCs/>
                <w:color w:val="auto"/>
                <w:kern w:val="0"/>
                <w:sz w:val="24"/>
                <w:szCs w:val="24"/>
                <w:highlight w:val="none"/>
                <w:lang w:eastAsia="zh-CN"/>
              </w:rPr>
              <w:t>；</w:t>
            </w:r>
          </w:p>
          <w:p w14:paraId="6C99FD2C">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3）少数股权对应的经营机构为金融企业的，是否符合金融监管机构及其他有权机构的相关规定；且最近一个会计年度对应的营业收入、资产总额、资产净额三项指标，均不超过上市公司同期合并报表对应指标的20%。</w:t>
            </w:r>
          </w:p>
        </w:tc>
        <w:tc>
          <w:tcPr>
            <w:tcW w:w="1840" w:type="pct"/>
            <w:shd w:val="clear" w:color="auto" w:fill="auto"/>
          </w:tcPr>
          <w:p w14:paraId="3887B10C">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独立财务顾问应核查本次交易是否符合《监管规则适用指引——上市类第1号》1-3，并在《独立财务顾问报告》中发表明确核查意见。</w:t>
            </w:r>
          </w:p>
          <w:p w14:paraId="4C146266">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bCs/>
                <w:color w:val="auto"/>
                <w:kern w:val="0"/>
                <w:sz w:val="24"/>
                <w:szCs w:val="24"/>
                <w:highlight w:val="none"/>
              </w:rPr>
              <w:t>律师应对上述事项进行核查，并发表明确核查意见。</w:t>
            </w:r>
          </w:p>
        </w:tc>
        <w:tc>
          <w:tcPr>
            <w:tcW w:w="620" w:type="pct"/>
            <w:shd w:val="clear" w:color="auto" w:fill="auto"/>
          </w:tcPr>
          <w:p w14:paraId="318EAD18">
            <w:pPr>
              <w:pStyle w:val="25"/>
              <w:jc w:val="both"/>
              <w:rPr>
                <w:rFonts w:hint="default" w:ascii="Times New Roman" w:hAnsi="Times New Roman" w:eastAsia="仿宋_GB2312" w:cs="Times New Roman"/>
                <w:color w:val="auto"/>
                <w:kern w:val="2"/>
                <w:sz w:val="24"/>
                <w:szCs w:val="24"/>
                <w:highlight w:val="none"/>
              </w:rPr>
            </w:pPr>
            <w:r>
              <w:rPr>
                <w:rFonts w:hint="default" w:ascii="Times New Roman" w:hAnsi="Times New Roman" w:eastAsia="仿宋_GB2312" w:cs="Times New Roman"/>
                <w:color w:val="auto"/>
                <w:sz w:val="24"/>
                <w:szCs w:val="24"/>
                <w:highlight w:val="none"/>
              </w:rPr>
              <w:t>《监管规则适用指引——上市类第1号》</w:t>
            </w:r>
            <w:r>
              <w:rPr>
                <w:rFonts w:hint="default" w:ascii="Times New Roman" w:hAnsi="Times New Roman" w:eastAsia="仿宋_GB2312" w:cs="Times New Roman"/>
                <w:color w:val="auto"/>
                <w:kern w:val="2"/>
                <w:sz w:val="24"/>
                <w:szCs w:val="24"/>
                <w:highlight w:val="none"/>
              </w:rPr>
              <w:t>1-3</w:t>
            </w:r>
          </w:p>
        </w:tc>
      </w:tr>
      <w:tr w14:paraId="38D99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291" w:type="pct"/>
            <w:shd w:val="clear" w:color="auto" w:fill="auto"/>
            <w:vAlign w:val="center"/>
          </w:tcPr>
          <w:p w14:paraId="122318CC">
            <w:pPr>
              <w:jc w:val="center"/>
              <w:rPr>
                <w:rFonts w:hint="default" w:ascii="Times New Roman" w:hAnsi="Times New Roman" w:eastAsia="仿宋_GB2312" w:cs="Times New Roman"/>
                <w:b/>
                <w:bCs/>
                <w:color w:val="auto"/>
                <w:kern w:val="0"/>
                <w:sz w:val="24"/>
                <w:szCs w:val="24"/>
                <w:highlight w:val="none"/>
              </w:rPr>
            </w:pPr>
            <w:r>
              <w:rPr>
                <w:rFonts w:hint="default" w:ascii="Times New Roman" w:hAnsi="Times New Roman" w:eastAsia="仿宋_GB2312" w:cs="Times New Roman"/>
                <w:b/>
                <w:color w:val="auto"/>
                <w:kern w:val="0"/>
                <w:sz w:val="24"/>
                <w:szCs w:val="24"/>
                <w:highlight w:val="none"/>
              </w:rPr>
              <w:t>1-12</w:t>
            </w:r>
          </w:p>
        </w:tc>
        <w:tc>
          <w:tcPr>
            <w:tcW w:w="499" w:type="pct"/>
            <w:shd w:val="clear" w:color="auto" w:fill="auto"/>
            <w:vAlign w:val="center"/>
          </w:tcPr>
          <w:p w14:paraId="736DF87C">
            <w:pPr>
              <w:pStyle w:val="25"/>
              <w:jc w:val="both"/>
              <w:rPr>
                <w:rFonts w:hint="default" w:ascii="Times New Roman" w:hAnsi="Times New Roman" w:eastAsia="仿宋_GB2312" w:cs="Times New Roman"/>
                <w:b/>
                <w:bCs/>
                <w:color w:val="auto"/>
                <w:kern w:val="2"/>
                <w:sz w:val="24"/>
                <w:szCs w:val="24"/>
                <w:highlight w:val="none"/>
              </w:rPr>
            </w:pPr>
            <w:r>
              <w:rPr>
                <w:rFonts w:hint="default" w:ascii="Times New Roman" w:hAnsi="Times New Roman" w:eastAsia="仿宋_GB2312" w:cs="Times New Roman"/>
                <w:b/>
                <w:bCs/>
                <w:color w:val="auto"/>
                <w:sz w:val="24"/>
                <w:szCs w:val="24"/>
                <w:highlight w:val="none"/>
              </w:rPr>
              <w:t>整合管控</w:t>
            </w:r>
          </w:p>
        </w:tc>
        <w:tc>
          <w:tcPr>
            <w:tcW w:w="1747" w:type="pct"/>
            <w:shd w:val="clear" w:color="auto" w:fill="auto"/>
          </w:tcPr>
          <w:p w14:paraId="56BCA6D5">
            <w:pPr>
              <w:ind w:firstLine="480" w:firstLineChars="200"/>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上市公司应当在重组报告书中披露：</w:t>
            </w:r>
          </w:p>
          <w:p w14:paraId="5E3516A3">
            <w:pPr>
              <w:numPr>
                <w:ilvl w:val="255"/>
                <w:numId w:val="0"/>
              </w:numPr>
              <w:ind w:firstLine="480" w:firstLineChars="200"/>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（1）本次交易完成后，对拟购买资产的整合管控安排，包括在业务、资产、财务、人员、机构等方面的具体整合管控计划；</w:t>
            </w:r>
          </w:p>
          <w:p w14:paraId="0866BF20">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color w:val="auto"/>
                <w:kern w:val="0"/>
                <w:sz w:val="24"/>
                <w:szCs w:val="24"/>
                <w:highlight w:val="none"/>
              </w:rPr>
              <w:t>（2）就本次交易对上市公司的持续经营能力、未来发展前景、当期每股收益等财务指标和非财务指标的影响进行详细分析。</w:t>
            </w:r>
          </w:p>
        </w:tc>
        <w:tc>
          <w:tcPr>
            <w:tcW w:w="1840" w:type="pct"/>
            <w:shd w:val="clear" w:color="auto" w:fill="auto"/>
          </w:tcPr>
          <w:p w14:paraId="482213E1">
            <w:pPr>
              <w:widowControl/>
              <w:ind w:firstLine="480" w:firstLineChars="200"/>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独立财务顾问应对以下事项进行核查，并在《独立财务顾问报告》中发表明确核查意见：</w:t>
            </w:r>
          </w:p>
          <w:p w14:paraId="36BB2C3B">
            <w:pPr>
              <w:widowControl/>
              <w:numPr>
                <w:ilvl w:val="255"/>
                <w:numId w:val="0"/>
              </w:numPr>
              <w:ind w:firstLine="480" w:firstLineChars="200"/>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（1）上市公司对拟购买资产的具体整合管控安排，如对于公司治理、日常生产经营等方面的安排，相关安排是否可以实现上市公司对于拟购买资产的控制；</w:t>
            </w:r>
          </w:p>
          <w:p w14:paraId="22C5DA83">
            <w:pPr>
              <w:ind w:firstLine="480" w:firstLineChars="200"/>
              <w:rPr>
                <w:rFonts w:hint="default" w:ascii="Times New Roman" w:hAnsi="Times New Roman" w:eastAsia="仿宋_GB2312" w:cs="Times New Roman"/>
                <w:bCs/>
                <w:color w:val="auto"/>
                <w:kern w:val="0"/>
                <w:sz w:val="24"/>
                <w:szCs w:val="24"/>
                <w:highlight w:val="none"/>
              </w:rPr>
            </w:pPr>
            <w:r>
              <w:rPr>
                <w:rFonts w:hint="default" w:ascii="Times New Roman" w:hAnsi="Times New Roman" w:eastAsia="仿宋_GB2312" w:cs="Times New Roman"/>
                <w:color w:val="auto"/>
                <w:kern w:val="0"/>
                <w:sz w:val="24"/>
                <w:szCs w:val="24"/>
                <w:highlight w:val="none"/>
              </w:rPr>
              <w:t>（2）相关分析的依据及合理性。</w:t>
            </w:r>
          </w:p>
        </w:tc>
        <w:tc>
          <w:tcPr>
            <w:tcW w:w="620" w:type="pct"/>
            <w:shd w:val="clear" w:color="auto" w:fill="auto"/>
          </w:tcPr>
          <w:p w14:paraId="01625220">
            <w:pPr>
              <w:pStyle w:val="25"/>
              <w:jc w:val="both"/>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bCs/>
                <w:color w:val="auto"/>
                <w:sz w:val="24"/>
                <w:szCs w:val="24"/>
                <w:highlight w:val="none"/>
              </w:rPr>
              <w:t>《26号格式准则》第三十四条、三十五条</w:t>
            </w:r>
          </w:p>
        </w:tc>
      </w:tr>
    </w:tbl>
    <w:p w14:paraId="36AE5E83">
      <w:pPr>
        <w:rPr>
          <w:rFonts w:hint="default" w:ascii="Times New Roman" w:hAnsi="Times New Roman" w:cs="Times New Roman"/>
          <w:color w:val="000000" w:themeColor="text1"/>
          <w:highlight w:val="none"/>
          <w14:textFill>
            <w14:solidFill>
              <w14:schemeClr w14:val="tx1"/>
            </w14:solidFill>
          </w14:textFill>
        </w:rPr>
      </w:pPr>
    </w:p>
    <w:tbl>
      <w:tblPr>
        <w:tblStyle w:val="12"/>
        <w:tblW w:w="140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4"/>
        <w:gridCol w:w="1390"/>
        <w:gridCol w:w="4884"/>
        <w:gridCol w:w="5180"/>
        <w:gridCol w:w="1732"/>
      </w:tblGrid>
      <w:tr w14:paraId="7F479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tblHeader/>
        </w:trPr>
        <w:tc>
          <w:tcPr>
            <w:tcW w:w="14050" w:type="dxa"/>
            <w:gridSpan w:val="5"/>
            <w:shd w:val="clear" w:color="auto" w:fill="8DB3E2"/>
            <w:noWrap/>
            <w:vAlign w:val="center"/>
          </w:tcPr>
          <w:p w14:paraId="362CB38B">
            <w:pPr>
              <w:adjustRightInd w:val="0"/>
              <w:snapToGrid w:val="0"/>
              <w:jc w:val="center"/>
              <w:rPr>
                <w:rFonts w:hint="default" w:ascii="Times New Roman" w:hAnsi="Times New Roman" w:eastAsia="仿宋_GB2312" w:cs="Times New Roman"/>
                <w:b/>
                <w:color w:val="auto"/>
                <w:kern w:val="0"/>
                <w:sz w:val="24"/>
                <w:highlight w:val="none"/>
              </w:rPr>
            </w:pPr>
            <w:r>
              <w:rPr>
                <w:rFonts w:hint="default" w:ascii="Times New Roman" w:hAnsi="Times New Roman" w:eastAsia="仿宋_GB2312" w:cs="Times New Roman"/>
                <w:b/>
                <w:color w:val="auto"/>
                <w:kern w:val="0"/>
                <w:sz w:val="24"/>
                <w:highlight w:val="none"/>
              </w:rPr>
              <w:t>二、关于合规性</w:t>
            </w:r>
          </w:p>
        </w:tc>
      </w:tr>
      <w:tr w14:paraId="28D93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864" w:type="dxa"/>
            <w:noWrap/>
            <w:vAlign w:val="center"/>
          </w:tcPr>
          <w:p w14:paraId="5953A3B0">
            <w:pPr>
              <w:jc w:val="center"/>
              <w:rPr>
                <w:rFonts w:hint="default" w:ascii="Times New Roman" w:hAnsi="Times New Roman" w:eastAsia="仿宋_GB2312" w:cs="Times New Roman"/>
                <w:b/>
                <w:color w:val="auto"/>
                <w:kern w:val="0"/>
                <w:sz w:val="24"/>
                <w:highlight w:val="none"/>
              </w:rPr>
            </w:pPr>
            <w:r>
              <w:rPr>
                <w:rFonts w:hint="default" w:ascii="Times New Roman" w:hAnsi="Times New Roman" w:eastAsia="仿宋_GB2312" w:cs="Times New Roman"/>
                <w:b/>
                <w:color w:val="auto"/>
                <w:kern w:val="0"/>
                <w:sz w:val="24"/>
                <w:highlight w:val="none"/>
              </w:rPr>
              <w:t>序号</w:t>
            </w:r>
          </w:p>
        </w:tc>
        <w:tc>
          <w:tcPr>
            <w:tcW w:w="1390" w:type="dxa"/>
            <w:noWrap/>
            <w:vAlign w:val="center"/>
          </w:tcPr>
          <w:p w14:paraId="13C66B56">
            <w:pPr>
              <w:jc w:val="center"/>
              <w:rPr>
                <w:rFonts w:hint="default" w:ascii="Times New Roman" w:hAnsi="Times New Roman" w:eastAsia="仿宋_GB2312" w:cs="Times New Roman"/>
                <w:b/>
                <w:color w:val="auto"/>
                <w:kern w:val="0"/>
                <w:sz w:val="24"/>
                <w:highlight w:val="none"/>
              </w:rPr>
            </w:pPr>
            <w:r>
              <w:rPr>
                <w:rFonts w:hint="default" w:ascii="Times New Roman" w:hAnsi="Times New Roman" w:eastAsia="仿宋_GB2312" w:cs="Times New Roman"/>
                <w:b/>
                <w:color w:val="auto"/>
                <w:kern w:val="0"/>
                <w:sz w:val="24"/>
                <w:highlight w:val="none"/>
              </w:rPr>
              <w:t>问题</w:t>
            </w:r>
          </w:p>
        </w:tc>
        <w:tc>
          <w:tcPr>
            <w:tcW w:w="4884" w:type="dxa"/>
            <w:noWrap/>
            <w:vAlign w:val="center"/>
          </w:tcPr>
          <w:p w14:paraId="7806D46F">
            <w:pPr>
              <w:jc w:val="center"/>
              <w:rPr>
                <w:rFonts w:hint="default" w:ascii="Times New Roman" w:hAnsi="Times New Roman" w:eastAsia="仿宋_GB2312" w:cs="Times New Roman"/>
                <w:b/>
                <w:color w:val="auto"/>
                <w:kern w:val="0"/>
                <w:sz w:val="24"/>
                <w:highlight w:val="none"/>
              </w:rPr>
            </w:pPr>
            <w:r>
              <w:rPr>
                <w:rFonts w:hint="default" w:ascii="Times New Roman" w:hAnsi="Times New Roman" w:eastAsia="仿宋_GB2312" w:cs="Times New Roman"/>
                <w:b/>
                <w:color w:val="auto"/>
                <w:kern w:val="0"/>
                <w:sz w:val="24"/>
                <w:highlight w:val="none"/>
              </w:rPr>
              <w:t>披露要求</w:t>
            </w:r>
          </w:p>
        </w:tc>
        <w:tc>
          <w:tcPr>
            <w:tcW w:w="5180" w:type="dxa"/>
            <w:noWrap/>
            <w:vAlign w:val="center"/>
          </w:tcPr>
          <w:p w14:paraId="2B713C85">
            <w:pPr>
              <w:jc w:val="center"/>
              <w:rPr>
                <w:rFonts w:hint="default" w:ascii="Times New Roman" w:hAnsi="Times New Roman" w:eastAsia="仿宋_GB2312" w:cs="Times New Roman"/>
                <w:b/>
                <w:color w:val="auto"/>
                <w:kern w:val="0"/>
                <w:sz w:val="24"/>
                <w:highlight w:val="none"/>
              </w:rPr>
            </w:pPr>
            <w:r>
              <w:rPr>
                <w:rFonts w:hint="default" w:ascii="Times New Roman" w:hAnsi="Times New Roman" w:eastAsia="仿宋_GB2312" w:cs="Times New Roman"/>
                <w:b/>
                <w:color w:val="auto"/>
                <w:kern w:val="0"/>
                <w:sz w:val="24"/>
                <w:highlight w:val="none"/>
              </w:rPr>
              <w:t>核查要求</w:t>
            </w:r>
          </w:p>
        </w:tc>
        <w:tc>
          <w:tcPr>
            <w:tcW w:w="1732" w:type="dxa"/>
            <w:noWrap/>
            <w:vAlign w:val="center"/>
          </w:tcPr>
          <w:p w14:paraId="479A12A7">
            <w:pPr>
              <w:jc w:val="center"/>
              <w:rPr>
                <w:rFonts w:hint="default" w:ascii="Times New Roman" w:hAnsi="Times New Roman" w:eastAsia="仿宋_GB2312" w:cs="Times New Roman"/>
                <w:b/>
                <w:color w:val="auto"/>
                <w:kern w:val="0"/>
                <w:sz w:val="24"/>
                <w:highlight w:val="none"/>
              </w:rPr>
            </w:pPr>
            <w:r>
              <w:rPr>
                <w:rFonts w:hint="default" w:ascii="Times New Roman" w:hAnsi="Times New Roman" w:eastAsia="仿宋_GB2312" w:cs="Times New Roman"/>
                <w:b/>
                <w:color w:val="auto"/>
                <w:kern w:val="0"/>
                <w:sz w:val="24"/>
                <w:highlight w:val="none"/>
              </w:rPr>
              <w:t>参考规范</w:t>
            </w:r>
          </w:p>
        </w:tc>
      </w:tr>
      <w:tr w14:paraId="65304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4" w:type="dxa"/>
            <w:noWrap/>
            <w:vAlign w:val="center"/>
          </w:tcPr>
          <w:p w14:paraId="746CCDA8">
            <w:pPr>
              <w:jc w:val="center"/>
              <w:rPr>
                <w:rFonts w:hint="default" w:ascii="Times New Roman" w:hAnsi="Times New Roman" w:eastAsia="仿宋_GB2312" w:cs="Times New Roman"/>
                <w:b/>
                <w:bCs/>
                <w:color w:val="auto"/>
                <w:kern w:val="0"/>
                <w:sz w:val="24"/>
                <w:highlight w:val="none"/>
              </w:rPr>
            </w:pPr>
            <w:r>
              <w:rPr>
                <w:rFonts w:hint="default" w:ascii="Times New Roman" w:hAnsi="Times New Roman" w:eastAsia="仿宋_GB2312" w:cs="Times New Roman"/>
                <w:b/>
                <w:bCs/>
                <w:color w:val="auto"/>
                <w:kern w:val="0"/>
                <w:sz w:val="24"/>
                <w:highlight w:val="none"/>
              </w:rPr>
              <w:t>2-1</w:t>
            </w:r>
          </w:p>
        </w:tc>
        <w:tc>
          <w:tcPr>
            <w:tcW w:w="1390" w:type="dxa"/>
            <w:noWrap/>
            <w:vAlign w:val="center"/>
          </w:tcPr>
          <w:p w14:paraId="5199708D">
            <w:pPr>
              <w:rPr>
                <w:rFonts w:hint="default" w:ascii="Times New Roman" w:hAnsi="Times New Roman" w:eastAsia="仿宋_GB2312" w:cs="Times New Roman"/>
                <w:b/>
                <w:bCs/>
                <w:color w:val="auto"/>
                <w:kern w:val="0"/>
                <w:sz w:val="24"/>
                <w:highlight w:val="none"/>
              </w:rPr>
            </w:pPr>
            <w:r>
              <w:rPr>
                <w:rFonts w:hint="default" w:ascii="Times New Roman" w:hAnsi="Times New Roman" w:eastAsia="仿宋_GB2312" w:cs="Times New Roman"/>
                <w:b/>
                <w:bCs/>
                <w:color w:val="auto"/>
                <w:sz w:val="24"/>
                <w:highlight w:val="none"/>
              </w:rPr>
              <w:t>产业政策</w:t>
            </w:r>
          </w:p>
        </w:tc>
        <w:tc>
          <w:tcPr>
            <w:tcW w:w="4884" w:type="dxa"/>
            <w:noWrap/>
          </w:tcPr>
          <w:p w14:paraId="57137D1A">
            <w:pPr>
              <w:ind w:firstLine="480" w:firstLineChars="200"/>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上市公司应当在重组报告书中披露：</w:t>
            </w:r>
          </w:p>
          <w:p w14:paraId="2E93D3BE">
            <w:pPr>
              <w:ind w:firstLine="480" w:firstLineChars="200"/>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本次交易</w:t>
            </w:r>
            <w:r>
              <w:rPr>
                <w:rFonts w:hint="default" w:ascii="Times New Roman" w:hAnsi="Times New Roman" w:eastAsia="仿宋_GB2312" w:cs="Times New Roman"/>
                <w:color w:val="auto"/>
                <w:kern w:val="0"/>
                <w:sz w:val="24"/>
                <w:highlight w:val="none"/>
                <w:lang w:eastAsia="zh-CN"/>
              </w:rPr>
              <w:t>是否</w:t>
            </w:r>
            <w:r>
              <w:rPr>
                <w:rFonts w:hint="default" w:ascii="Times New Roman" w:hAnsi="Times New Roman" w:eastAsia="仿宋_GB2312" w:cs="Times New Roman"/>
                <w:color w:val="auto"/>
                <w:kern w:val="0"/>
                <w:sz w:val="24"/>
                <w:highlight w:val="none"/>
              </w:rPr>
              <w:t>符合国家产业政策和有关环境保护、土地管理、反垄断、外商投资、对外投资等法律和行政法规的规定。</w:t>
            </w:r>
          </w:p>
        </w:tc>
        <w:tc>
          <w:tcPr>
            <w:tcW w:w="5180" w:type="dxa"/>
            <w:noWrap/>
          </w:tcPr>
          <w:p w14:paraId="4174ECF7">
            <w:pPr>
              <w:ind w:firstLine="480" w:firstLineChars="200"/>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独立财务顾问应对以下事项进行核查，并在《独立财务顾问报告》中发表明确核查意见：</w:t>
            </w:r>
          </w:p>
          <w:p w14:paraId="4C62577E">
            <w:pPr>
              <w:ind w:firstLine="480" w:firstLineChars="200"/>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（1）本次交易是否符合国家产业政策和有关环境保护、土地管理、反垄断、外商投资、对外投资等法律和行政法规的规定；</w:t>
            </w:r>
          </w:p>
          <w:p w14:paraId="2F9299E9">
            <w:pPr>
              <w:ind w:firstLine="480" w:firstLineChars="200"/>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（2）涉及高耗能、高排放的，应根据相关要求充分核查。</w:t>
            </w:r>
          </w:p>
          <w:p w14:paraId="46D273C8">
            <w:pPr>
              <w:ind w:firstLine="480" w:firstLineChars="200"/>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律师应对上述事项进行核查，并发表明确核查意见。</w:t>
            </w:r>
          </w:p>
        </w:tc>
        <w:tc>
          <w:tcPr>
            <w:tcW w:w="1732" w:type="dxa"/>
            <w:noWrap/>
          </w:tcPr>
          <w:p w14:paraId="738A2179">
            <w:pP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《重组办法》第十一条、《26号格式准则》第二十一条</w:t>
            </w:r>
          </w:p>
          <w:p w14:paraId="259877C6">
            <w:pPr>
              <w:rPr>
                <w:rFonts w:hint="default" w:ascii="Times New Roman" w:hAnsi="Times New Roman" w:eastAsia="仿宋_GB2312" w:cs="Times New Roman"/>
                <w:color w:val="auto"/>
                <w:sz w:val="24"/>
                <w:highlight w:val="none"/>
              </w:rPr>
            </w:pPr>
          </w:p>
        </w:tc>
      </w:tr>
      <w:tr w14:paraId="01178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4" w:type="dxa"/>
            <w:noWrap/>
            <w:vAlign w:val="center"/>
          </w:tcPr>
          <w:p w14:paraId="7C71509E">
            <w:pPr>
              <w:jc w:val="center"/>
              <w:rPr>
                <w:rFonts w:hint="default" w:ascii="Times New Roman" w:hAnsi="Times New Roman" w:eastAsia="仿宋_GB2312" w:cs="Times New Roman"/>
                <w:b/>
                <w:bCs/>
                <w:color w:val="auto"/>
                <w:kern w:val="0"/>
                <w:sz w:val="24"/>
                <w:highlight w:val="none"/>
              </w:rPr>
            </w:pPr>
            <w:r>
              <w:rPr>
                <w:rFonts w:hint="default" w:ascii="Times New Roman" w:hAnsi="Times New Roman" w:eastAsia="仿宋_GB2312" w:cs="Times New Roman"/>
                <w:b/>
                <w:bCs/>
                <w:color w:val="auto"/>
                <w:kern w:val="0"/>
                <w:sz w:val="24"/>
                <w:highlight w:val="none"/>
              </w:rPr>
              <w:t>2-2</w:t>
            </w:r>
          </w:p>
        </w:tc>
        <w:tc>
          <w:tcPr>
            <w:tcW w:w="1390" w:type="dxa"/>
            <w:noWrap/>
            <w:vAlign w:val="center"/>
          </w:tcPr>
          <w:p w14:paraId="0FA1A339">
            <w:pPr>
              <w:rPr>
                <w:rFonts w:hint="default" w:ascii="Times New Roman" w:hAnsi="Times New Roman" w:eastAsia="仿宋_GB2312" w:cs="Times New Roman"/>
                <w:b/>
                <w:bCs/>
                <w:color w:val="auto"/>
                <w:kern w:val="0"/>
                <w:sz w:val="24"/>
                <w:highlight w:val="none"/>
              </w:rPr>
            </w:pPr>
            <w:r>
              <w:rPr>
                <w:rFonts w:hint="default" w:ascii="Times New Roman" w:hAnsi="Times New Roman" w:eastAsia="仿宋_GB2312" w:cs="Times New Roman"/>
                <w:b/>
                <w:bCs/>
                <w:color w:val="auto"/>
                <w:sz w:val="24"/>
                <w:highlight w:val="none"/>
              </w:rPr>
              <w:t>需履行的前置审批或并联审批程序</w:t>
            </w:r>
          </w:p>
        </w:tc>
        <w:tc>
          <w:tcPr>
            <w:tcW w:w="4884" w:type="dxa"/>
            <w:noWrap/>
          </w:tcPr>
          <w:p w14:paraId="4918DE42">
            <w:pPr>
              <w:ind w:firstLine="480" w:firstLineChars="200"/>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上市公司应当在重组报告书中披露：</w:t>
            </w:r>
          </w:p>
          <w:p w14:paraId="2021C8C9">
            <w:pPr>
              <w:ind w:firstLine="480" w:firstLineChars="200"/>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本次重组已履行的和尚未履行的决策程序及报批程序，本次重组方案实施前尚需取得的有关批准。涉及并联审批的，应当明确取得批准前不得实施本次交易。</w:t>
            </w:r>
          </w:p>
        </w:tc>
        <w:tc>
          <w:tcPr>
            <w:tcW w:w="5180" w:type="dxa"/>
            <w:noWrap/>
          </w:tcPr>
          <w:p w14:paraId="097C5F8D">
            <w:pPr>
              <w:ind w:firstLine="480" w:firstLineChars="200"/>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独立财务顾问应对以下事项进行核查，并在《独立财务顾问报告》中发表明确核查意见：</w:t>
            </w:r>
          </w:p>
          <w:p w14:paraId="49F2007E">
            <w:pPr>
              <w:ind w:firstLine="480" w:firstLineChars="200"/>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本次交易已履行审批程序的完备性；尚未履行的审批程序，是否存在障碍以及对本次交易的影响。</w:t>
            </w:r>
          </w:p>
          <w:p w14:paraId="1B004F8A">
            <w:pPr>
              <w:ind w:firstLine="480" w:firstLineChars="200"/>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律师应对上述事项进行核查，并发表明确核查意见。</w:t>
            </w:r>
          </w:p>
        </w:tc>
        <w:tc>
          <w:tcPr>
            <w:tcW w:w="1732" w:type="dxa"/>
            <w:noWrap/>
          </w:tcPr>
          <w:p w14:paraId="2C57FD10">
            <w:pP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《26号格式准则》第十一条、《上市公司并购重组行政许可并联审批工作方案》</w:t>
            </w:r>
          </w:p>
        </w:tc>
      </w:tr>
      <w:tr w14:paraId="46932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6" w:hRule="atLeast"/>
        </w:trPr>
        <w:tc>
          <w:tcPr>
            <w:tcW w:w="864" w:type="dxa"/>
            <w:noWrap/>
            <w:vAlign w:val="center"/>
          </w:tcPr>
          <w:p w14:paraId="7E747D58">
            <w:pPr>
              <w:jc w:val="center"/>
              <w:rPr>
                <w:rFonts w:hint="default" w:ascii="Times New Roman" w:hAnsi="Times New Roman" w:eastAsia="仿宋_GB2312" w:cs="Times New Roman"/>
                <w:b/>
                <w:bCs/>
                <w:color w:val="auto"/>
                <w:kern w:val="0"/>
                <w:sz w:val="24"/>
                <w:highlight w:val="none"/>
              </w:rPr>
            </w:pPr>
            <w:r>
              <w:rPr>
                <w:rFonts w:hint="default" w:ascii="Times New Roman" w:hAnsi="Times New Roman" w:eastAsia="仿宋_GB2312" w:cs="Times New Roman"/>
                <w:b/>
                <w:bCs/>
                <w:color w:val="auto"/>
                <w:kern w:val="0"/>
                <w:sz w:val="24"/>
                <w:highlight w:val="none"/>
              </w:rPr>
              <w:t>2-3</w:t>
            </w:r>
          </w:p>
        </w:tc>
        <w:tc>
          <w:tcPr>
            <w:tcW w:w="1390" w:type="dxa"/>
            <w:noWrap/>
            <w:vAlign w:val="center"/>
          </w:tcPr>
          <w:p w14:paraId="6649B93B">
            <w:pPr>
              <w:rPr>
                <w:rFonts w:hint="default" w:ascii="Times New Roman" w:hAnsi="Times New Roman" w:eastAsia="仿宋_GB2312" w:cs="Times New Roman"/>
                <w:b/>
                <w:bCs/>
                <w:color w:val="auto"/>
                <w:kern w:val="0"/>
                <w:sz w:val="24"/>
                <w:highlight w:val="none"/>
              </w:rPr>
            </w:pPr>
            <w:r>
              <w:rPr>
                <w:rFonts w:hint="default" w:ascii="Times New Roman" w:hAnsi="Times New Roman" w:eastAsia="仿宋_GB2312" w:cs="Times New Roman"/>
                <w:b/>
                <w:bCs/>
                <w:color w:val="auto"/>
                <w:kern w:val="0"/>
                <w:sz w:val="24"/>
                <w:highlight w:val="none"/>
              </w:rPr>
              <w:t>重组条件</w:t>
            </w:r>
          </w:p>
        </w:tc>
        <w:tc>
          <w:tcPr>
            <w:tcW w:w="4884" w:type="dxa"/>
            <w:noWrap/>
          </w:tcPr>
          <w:p w14:paraId="133BBB9E">
            <w:pPr>
              <w:numPr>
                <w:ilvl w:val="-1"/>
                <w:numId w:val="0"/>
              </w:numPr>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上市公司应当在重组报告书中披露相关情况：</w:t>
            </w:r>
          </w:p>
          <w:p w14:paraId="330E09CC">
            <w:pPr>
              <w:numPr>
                <w:ilvl w:val="-1"/>
                <w:numId w:val="0"/>
              </w:numPr>
              <w:ind w:firstLine="480" w:firstLineChars="200"/>
              <w:rPr>
                <w:rFonts w:hint="default" w:ascii="Times New Roman" w:hAnsi="Times New Roman" w:cs="Times New Roman"/>
                <w:highlight w:val="none"/>
              </w:rPr>
            </w:pPr>
            <w:r>
              <w:rPr>
                <w:rFonts w:hint="eastAsia" w:ascii="Times New Roman" w:hAnsi="Times New Roman" w:eastAsia="仿宋_GB2312" w:cs="Times New Roman"/>
                <w:color w:val="auto"/>
                <w:sz w:val="24"/>
                <w:highlight w:val="none"/>
                <w:lang w:eastAsia="zh-CN"/>
              </w:rPr>
              <w:t>（</w:t>
            </w:r>
            <w:r>
              <w:rPr>
                <w:rFonts w:hint="eastAsia" w:ascii="Times New Roman" w:hAnsi="Times New Roman" w:eastAsia="仿宋_GB2312" w:cs="Times New Roman"/>
                <w:color w:val="auto"/>
                <w:sz w:val="24"/>
                <w:highlight w:val="none"/>
                <w:lang w:val="en-US" w:eastAsia="zh-CN"/>
              </w:rPr>
              <w:t>1</w:t>
            </w:r>
            <w:r>
              <w:rPr>
                <w:rFonts w:hint="eastAsia" w:ascii="Times New Roman" w:hAnsi="Times New Roman" w:eastAsia="仿宋_GB2312" w:cs="Times New Roman"/>
                <w:color w:val="auto"/>
                <w:sz w:val="24"/>
                <w:highlight w:val="none"/>
                <w:lang w:eastAsia="zh-CN"/>
              </w:rPr>
              <w:t>）</w:t>
            </w:r>
            <w:r>
              <w:rPr>
                <w:rFonts w:hint="default" w:ascii="Times New Roman" w:hAnsi="Times New Roman" w:eastAsia="仿宋_GB2312" w:cs="Times New Roman"/>
                <w:color w:val="auto"/>
                <w:sz w:val="24"/>
                <w:highlight w:val="none"/>
              </w:rPr>
              <w:t>本次交易</w:t>
            </w:r>
            <w:r>
              <w:rPr>
                <w:rFonts w:hint="default" w:ascii="Times New Roman" w:hAnsi="Times New Roman" w:eastAsia="仿宋_GB2312" w:cs="Times New Roman"/>
                <w:color w:val="auto"/>
                <w:sz w:val="24"/>
                <w:highlight w:val="none"/>
                <w:lang w:eastAsia="zh-CN"/>
              </w:rPr>
              <w:t>是否</w:t>
            </w:r>
            <w:r>
              <w:rPr>
                <w:rFonts w:hint="default" w:ascii="Times New Roman" w:hAnsi="Times New Roman" w:eastAsia="仿宋_GB2312" w:cs="Times New Roman"/>
                <w:color w:val="auto"/>
                <w:sz w:val="24"/>
                <w:highlight w:val="none"/>
              </w:rPr>
              <w:t>有利于提高上市公司资产质量</w:t>
            </w:r>
            <w:r>
              <w:rPr>
                <w:rFonts w:hint="default" w:ascii="Times New Roman" w:hAnsi="Times New Roman" w:eastAsia="仿宋_GB2312" w:cs="Times New Roman"/>
                <w:color w:val="auto"/>
                <w:sz w:val="24"/>
                <w:highlight w:val="none"/>
                <w:lang w:eastAsia="zh-CN"/>
              </w:rPr>
              <w:t>和</w:t>
            </w:r>
            <w:r>
              <w:rPr>
                <w:rFonts w:hint="default" w:ascii="Times New Roman" w:hAnsi="Times New Roman" w:eastAsia="仿宋_GB2312" w:cs="Times New Roman"/>
                <w:color w:val="auto"/>
                <w:sz w:val="24"/>
                <w:highlight w:val="none"/>
              </w:rPr>
              <w:t>增强持续经营能力，不存在可能导致上市公司重组后主要资产为现金或者无具体经营业务的情形；</w:t>
            </w:r>
          </w:p>
          <w:p w14:paraId="0E6EA40C">
            <w:pPr>
              <w:numPr>
                <w:ilvl w:val="-1"/>
                <w:numId w:val="0"/>
              </w:numPr>
              <w:ind w:firstLine="480" w:firstLineChars="200"/>
              <w:rPr>
                <w:rFonts w:hint="default" w:ascii="Times New Roman" w:hAnsi="Times New Roman" w:cs="Times New Roman"/>
                <w:highlight w:val="none"/>
                <w:lang w:eastAsia="zh-CN"/>
              </w:rPr>
            </w:pPr>
            <w:r>
              <w:rPr>
                <w:rFonts w:hint="eastAsia" w:ascii="Times New Roman" w:hAnsi="Times New Roman" w:eastAsia="仿宋_GB2312" w:cs="Times New Roman"/>
                <w:color w:val="auto"/>
                <w:sz w:val="24"/>
                <w:highlight w:val="none"/>
                <w:lang w:eastAsia="zh-CN"/>
              </w:rPr>
              <w:t>（</w:t>
            </w:r>
            <w:r>
              <w:rPr>
                <w:rFonts w:hint="eastAsia" w:ascii="Times New Roman" w:hAnsi="Times New Roman" w:eastAsia="仿宋_GB2312" w:cs="Times New Roman"/>
                <w:color w:val="auto"/>
                <w:sz w:val="24"/>
                <w:highlight w:val="none"/>
                <w:lang w:val="en-US" w:eastAsia="zh-CN"/>
              </w:rPr>
              <w:t>2</w:t>
            </w:r>
            <w:r>
              <w:rPr>
                <w:rFonts w:hint="eastAsia" w:ascii="Times New Roman" w:hAnsi="Times New Roman" w:eastAsia="仿宋_GB2312" w:cs="Times New Roman"/>
                <w:color w:val="auto"/>
                <w:sz w:val="24"/>
                <w:highlight w:val="none"/>
                <w:lang w:eastAsia="zh-CN"/>
              </w:rPr>
              <w:t>）</w:t>
            </w:r>
            <w:r>
              <w:rPr>
                <w:rFonts w:hint="default" w:ascii="Times New Roman" w:hAnsi="Times New Roman" w:eastAsia="仿宋_GB2312" w:cs="Times New Roman"/>
                <w:color w:val="auto"/>
                <w:sz w:val="24"/>
                <w:highlight w:val="none"/>
                <w:lang w:eastAsia="zh-CN"/>
              </w:rPr>
              <w:t>本次交易是否导致上市公司财务状况发生重大不利变化；</w:t>
            </w:r>
          </w:p>
          <w:p w14:paraId="058F5CE2">
            <w:pPr>
              <w:numPr>
                <w:ilvl w:val="-1"/>
                <w:numId w:val="0"/>
              </w:numPr>
              <w:ind w:firstLine="480" w:firstLineChars="200"/>
              <w:rPr>
                <w:rFonts w:hint="default" w:ascii="Times New Roman" w:hAnsi="Times New Roman" w:cs="Times New Roman"/>
                <w:highlight w:val="none"/>
              </w:rPr>
            </w:pPr>
            <w:r>
              <w:rPr>
                <w:rFonts w:hint="eastAsia" w:ascii="Times New Roman" w:hAnsi="Times New Roman" w:eastAsia="仿宋_GB2312" w:cs="Times New Roman"/>
                <w:color w:val="auto"/>
                <w:sz w:val="24"/>
                <w:highlight w:val="none"/>
                <w:lang w:eastAsia="zh-CN"/>
              </w:rPr>
              <w:t>（</w:t>
            </w:r>
            <w:r>
              <w:rPr>
                <w:rFonts w:hint="eastAsia" w:ascii="Times New Roman" w:hAnsi="Times New Roman" w:eastAsia="仿宋_GB2312" w:cs="Times New Roman"/>
                <w:color w:val="auto"/>
                <w:sz w:val="24"/>
                <w:highlight w:val="none"/>
                <w:lang w:val="en-US" w:eastAsia="zh-CN"/>
              </w:rPr>
              <w:t>3</w:t>
            </w:r>
            <w:r>
              <w:rPr>
                <w:rFonts w:hint="eastAsia" w:ascii="Times New Roman" w:hAnsi="Times New Roman" w:eastAsia="仿宋_GB2312" w:cs="Times New Roman"/>
                <w:color w:val="auto"/>
                <w:sz w:val="24"/>
                <w:highlight w:val="none"/>
                <w:lang w:eastAsia="zh-CN"/>
              </w:rPr>
              <w:t>）</w:t>
            </w:r>
            <w:r>
              <w:rPr>
                <w:rFonts w:hint="default" w:ascii="Times New Roman" w:hAnsi="Times New Roman" w:eastAsia="仿宋_GB2312" w:cs="Times New Roman"/>
                <w:color w:val="auto"/>
                <w:sz w:val="24"/>
                <w:highlight w:val="none"/>
              </w:rPr>
              <w:t>本次交易</w:t>
            </w:r>
            <w:r>
              <w:rPr>
                <w:rFonts w:hint="default" w:ascii="Times New Roman" w:hAnsi="Times New Roman" w:eastAsia="仿宋_GB2312" w:cs="Times New Roman"/>
                <w:color w:val="auto"/>
                <w:sz w:val="24"/>
                <w:highlight w:val="none"/>
                <w:lang w:eastAsia="zh-CN"/>
              </w:rPr>
              <w:t>是否</w:t>
            </w:r>
            <w:r>
              <w:rPr>
                <w:rFonts w:hint="default" w:ascii="Times New Roman" w:hAnsi="Times New Roman" w:eastAsia="仿宋_GB2312" w:cs="Times New Roman"/>
                <w:color w:val="auto"/>
                <w:sz w:val="24"/>
                <w:highlight w:val="none"/>
                <w:lang w:val="en-US" w:eastAsia="zh-CN"/>
              </w:rPr>
              <w:t>导致新增重大不利影响的同业竞争，以及严重影响独立性或者显失公平的关联交易</w:t>
            </w:r>
            <w:r>
              <w:rPr>
                <w:rFonts w:hint="default" w:ascii="Times New Roman" w:hAnsi="Times New Roman" w:eastAsia="仿宋_GB2312" w:cs="Times New Roman"/>
                <w:color w:val="auto"/>
                <w:sz w:val="24"/>
                <w:highlight w:val="none"/>
              </w:rPr>
              <w:t>；</w:t>
            </w:r>
          </w:p>
          <w:p w14:paraId="1AACF1D7">
            <w:pPr>
              <w:numPr>
                <w:ilvl w:val="-1"/>
                <w:numId w:val="0"/>
              </w:numPr>
              <w:ind w:firstLine="480" w:firstLineChars="200"/>
              <w:rPr>
                <w:rFonts w:hint="default" w:ascii="Times New Roman" w:hAnsi="Times New Roman" w:cs="Times New Roman"/>
                <w:highlight w:val="none"/>
                <w:lang w:eastAsia="zh-CN"/>
              </w:rPr>
            </w:pPr>
            <w:r>
              <w:rPr>
                <w:rFonts w:hint="eastAsia" w:ascii="Times New Roman" w:hAnsi="Times New Roman" w:eastAsia="仿宋_GB2312" w:cs="Times New Roman"/>
                <w:color w:val="auto"/>
                <w:sz w:val="24"/>
                <w:highlight w:val="none"/>
                <w:lang w:eastAsia="zh-CN"/>
              </w:rPr>
              <w:t>（</w:t>
            </w:r>
            <w:r>
              <w:rPr>
                <w:rFonts w:hint="eastAsia" w:ascii="Times New Roman" w:hAnsi="Times New Roman" w:eastAsia="仿宋_GB2312" w:cs="Times New Roman"/>
                <w:color w:val="auto"/>
                <w:sz w:val="24"/>
                <w:highlight w:val="none"/>
                <w:lang w:val="en-US" w:eastAsia="zh-CN"/>
              </w:rPr>
              <w:t>4）</w:t>
            </w:r>
            <w:r>
              <w:rPr>
                <w:rFonts w:hint="default" w:ascii="Times New Roman" w:hAnsi="Times New Roman" w:eastAsia="仿宋_GB2312" w:cs="Times New Roman"/>
                <w:color w:val="auto"/>
                <w:sz w:val="24"/>
                <w:highlight w:val="none"/>
              </w:rPr>
              <w:t>所涉及的资产</w:t>
            </w:r>
            <w:r>
              <w:rPr>
                <w:rFonts w:hint="default" w:ascii="Times New Roman" w:hAnsi="Times New Roman" w:eastAsia="仿宋_GB2312" w:cs="Times New Roman"/>
                <w:color w:val="auto"/>
                <w:sz w:val="24"/>
                <w:highlight w:val="none"/>
                <w:lang w:eastAsia="zh-CN"/>
              </w:rPr>
              <w:t>是否</w:t>
            </w:r>
            <w:r>
              <w:rPr>
                <w:rFonts w:hint="default" w:ascii="Times New Roman" w:hAnsi="Times New Roman" w:eastAsia="仿宋_GB2312" w:cs="Times New Roman"/>
                <w:color w:val="auto"/>
                <w:sz w:val="24"/>
                <w:highlight w:val="none"/>
              </w:rPr>
              <w:t>为权属清晰的经营性资产，</w:t>
            </w:r>
            <w:r>
              <w:rPr>
                <w:rFonts w:hint="default" w:ascii="Times New Roman" w:hAnsi="Times New Roman" w:eastAsia="仿宋_GB2312" w:cs="Times New Roman"/>
                <w:color w:val="auto"/>
                <w:sz w:val="24"/>
                <w:highlight w:val="none"/>
                <w:lang w:eastAsia="zh-CN"/>
              </w:rPr>
              <w:t>是否</w:t>
            </w:r>
            <w:r>
              <w:rPr>
                <w:rFonts w:hint="default" w:ascii="Times New Roman" w:hAnsi="Times New Roman" w:eastAsia="仿宋_GB2312" w:cs="Times New Roman"/>
                <w:color w:val="auto"/>
                <w:sz w:val="24"/>
                <w:highlight w:val="none"/>
              </w:rPr>
              <w:t>能在约定期限内办理完毕权属转移手续，</w:t>
            </w:r>
            <w:r>
              <w:rPr>
                <w:rFonts w:hint="default" w:ascii="Times New Roman" w:hAnsi="Times New Roman" w:eastAsia="仿宋_GB2312" w:cs="Times New Roman"/>
                <w:color w:val="auto"/>
                <w:sz w:val="24"/>
                <w:highlight w:val="none"/>
                <w:lang w:eastAsia="zh-CN"/>
              </w:rPr>
              <w:t>资产过户或者转移是否存在法律障碍，</w:t>
            </w:r>
            <w:r>
              <w:rPr>
                <w:rFonts w:hint="default" w:ascii="Times New Roman" w:hAnsi="Times New Roman" w:eastAsia="仿宋_GB2312" w:cs="Times New Roman"/>
                <w:color w:val="auto"/>
                <w:sz w:val="24"/>
                <w:highlight w:val="none"/>
              </w:rPr>
              <w:t>相关债权债务处理</w:t>
            </w:r>
            <w:r>
              <w:rPr>
                <w:rFonts w:hint="default" w:ascii="Times New Roman" w:hAnsi="Times New Roman" w:eastAsia="仿宋_GB2312" w:cs="Times New Roman"/>
                <w:color w:val="auto"/>
                <w:sz w:val="24"/>
                <w:highlight w:val="none"/>
                <w:lang w:eastAsia="zh-CN"/>
              </w:rPr>
              <w:t>是否</w:t>
            </w:r>
            <w:r>
              <w:rPr>
                <w:rFonts w:hint="default" w:ascii="Times New Roman" w:hAnsi="Times New Roman" w:eastAsia="仿宋_GB2312" w:cs="Times New Roman"/>
                <w:color w:val="auto"/>
                <w:sz w:val="24"/>
                <w:highlight w:val="none"/>
              </w:rPr>
              <w:t>合法</w:t>
            </w:r>
            <w:r>
              <w:rPr>
                <w:rFonts w:hint="default" w:ascii="Times New Roman" w:hAnsi="Times New Roman" w:eastAsia="仿宋_GB2312" w:cs="Times New Roman"/>
                <w:color w:val="auto"/>
                <w:sz w:val="24"/>
                <w:highlight w:val="none"/>
                <w:lang w:eastAsia="zh-CN"/>
              </w:rPr>
              <w:t>；</w:t>
            </w:r>
          </w:p>
          <w:p w14:paraId="51B4310E">
            <w:pPr>
              <w:numPr>
                <w:ilvl w:val="-1"/>
                <w:numId w:val="0"/>
              </w:numPr>
              <w:ind w:firstLine="480" w:firstLineChars="200"/>
              <w:rPr>
                <w:rFonts w:hint="default" w:ascii="Times New Roman" w:hAnsi="Times New Roman" w:cs="Times New Roman"/>
                <w:highlight w:val="none"/>
                <w:lang w:val="en-US" w:eastAsia="zh-CN"/>
              </w:rPr>
            </w:pPr>
            <w:r>
              <w:rPr>
                <w:rFonts w:hint="eastAsia" w:ascii="Times New Roman" w:hAnsi="Times New Roman" w:eastAsia="仿宋_GB2312" w:cs="Times New Roman"/>
                <w:color w:val="auto"/>
                <w:sz w:val="24"/>
                <w:highlight w:val="none"/>
                <w:lang w:val="en-US" w:eastAsia="zh-CN"/>
              </w:rPr>
              <w:t>（5）</w:t>
            </w:r>
            <w:r>
              <w:rPr>
                <w:rFonts w:hint="default" w:ascii="Times New Roman" w:hAnsi="Times New Roman" w:eastAsia="仿宋_GB2312" w:cs="Times New Roman"/>
                <w:color w:val="auto"/>
                <w:sz w:val="24"/>
                <w:highlight w:val="none"/>
                <w:lang w:val="en-US" w:eastAsia="zh-CN"/>
              </w:rPr>
              <w:t>本次交易是否导致上市公司不符合股票上市条件；</w:t>
            </w:r>
          </w:p>
          <w:p w14:paraId="50CD94DD">
            <w:pPr>
              <w:numPr>
                <w:ilvl w:val="-1"/>
                <w:numId w:val="0"/>
              </w:numPr>
              <w:ind w:firstLine="480" w:firstLineChars="200"/>
              <w:rPr>
                <w:rFonts w:hint="default" w:ascii="Times New Roman" w:hAnsi="Times New Roman" w:cs="Times New Roman"/>
                <w:highlight w:val="none"/>
                <w:lang w:val="en-US" w:eastAsia="zh-CN"/>
              </w:rPr>
            </w:pPr>
            <w:r>
              <w:rPr>
                <w:rFonts w:hint="eastAsia" w:ascii="Times New Roman" w:hAnsi="Times New Roman" w:eastAsia="仿宋_GB2312" w:cs="Times New Roman"/>
                <w:color w:val="auto"/>
                <w:sz w:val="24"/>
                <w:highlight w:val="none"/>
                <w:lang w:eastAsia="zh-CN"/>
              </w:rPr>
              <w:t>（</w:t>
            </w:r>
            <w:r>
              <w:rPr>
                <w:rFonts w:hint="eastAsia" w:ascii="Times New Roman" w:hAnsi="Times New Roman" w:eastAsia="仿宋_GB2312" w:cs="Times New Roman"/>
                <w:color w:val="auto"/>
                <w:sz w:val="24"/>
                <w:highlight w:val="none"/>
                <w:lang w:val="en-US" w:eastAsia="zh-CN"/>
              </w:rPr>
              <w:t>6）</w:t>
            </w:r>
            <w:r>
              <w:rPr>
                <w:rFonts w:hint="default" w:ascii="Times New Roman" w:hAnsi="Times New Roman" w:eastAsia="仿宋_GB2312" w:cs="Times New Roman"/>
                <w:color w:val="auto"/>
                <w:sz w:val="24"/>
                <w:highlight w:val="none"/>
              </w:rPr>
              <w:t>所涉及的资产</w:t>
            </w:r>
            <w:r>
              <w:rPr>
                <w:rFonts w:hint="default" w:ascii="Times New Roman" w:hAnsi="Times New Roman" w:eastAsia="仿宋_GB2312" w:cs="Times New Roman"/>
                <w:color w:val="auto"/>
                <w:sz w:val="24"/>
                <w:highlight w:val="none"/>
                <w:lang w:eastAsia="zh-CN"/>
              </w:rPr>
              <w:t>是否</w:t>
            </w:r>
            <w:r>
              <w:rPr>
                <w:rFonts w:hint="default" w:ascii="Times New Roman" w:hAnsi="Times New Roman" w:eastAsia="仿宋_GB2312" w:cs="Times New Roman"/>
                <w:color w:val="auto"/>
                <w:sz w:val="24"/>
                <w:highlight w:val="none"/>
              </w:rPr>
              <w:t>定价公允，不存在损害上市公司和股东合法权益的情形；</w:t>
            </w:r>
          </w:p>
          <w:p w14:paraId="4E271C54">
            <w:pPr>
              <w:numPr>
                <w:ilvl w:val="-1"/>
                <w:numId w:val="0"/>
              </w:numPr>
              <w:ind w:firstLine="480" w:firstLineChars="200"/>
              <w:rPr>
                <w:rFonts w:hint="default" w:ascii="Times New Roman" w:hAnsi="Times New Roman" w:eastAsia="仿宋_GB2312" w:cs="Times New Roman"/>
                <w:color w:val="auto"/>
                <w:sz w:val="24"/>
                <w:highlight w:val="none"/>
              </w:rPr>
            </w:pPr>
            <w:r>
              <w:rPr>
                <w:rFonts w:hint="eastAsia" w:ascii="Times New Roman" w:hAnsi="Times New Roman" w:eastAsia="仿宋_GB2312" w:cs="Times New Roman"/>
                <w:bCs/>
                <w:color w:val="auto"/>
                <w:kern w:val="0"/>
                <w:sz w:val="24"/>
                <w:highlight w:val="none"/>
                <w:lang w:eastAsia="zh-CN"/>
              </w:rPr>
              <w:t>（</w:t>
            </w:r>
            <w:r>
              <w:rPr>
                <w:rFonts w:hint="eastAsia" w:ascii="Times New Roman" w:hAnsi="Times New Roman" w:eastAsia="仿宋_GB2312" w:cs="Times New Roman"/>
                <w:bCs/>
                <w:color w:val="auto"/>
                <w:kern w:val="0"/>
                <w:sz w:val="24"/>
                <w:highlight w:val="none"/>
                <w:lang w:val="en-US" w:eastAsia="zh-CN"/>
              </w:rPr>
              <w:t>7</w:t>
            </w:r>
            <w:r>
              <w:rPr>
                <w:rFonts w:hint="eastAsia" w:ascii="Times New Roman" w:hAnsi="Times New Roman" w:eastAsia="仿宋_GB2312" w:cs="Times New Roman"/>
                <w:bCs/>
                <w:color w:val="auto"/>
                <w:kern w:val="0"/>
                <w:sz w:val="24"/>
                <w:highlight w:val="none"/>
                <w:lang w:eastAsia="zh-CN"/>
              </w:rPr>
              <w:t>）</w:t>
            </w:r>
            <w:r>
              <w:rPr>
                <w:rFonts w:hint="default" w:ascii="Times New Roman" w:hAnsi="Times New Roman" w:eastAsia="仿宋_GB2312" w:cs="Times New Roman"/>
                <w:bCs/>
                <w:color w:val="auto"/>
                <w:kern w:val="0"/>
                <w:sz w:val="24"/>
                <w:highlight w:val="none"/>
              </w:rPr>
              <w:t>上市公司最近一年及一期财务会计报告被会计师事务所出具审计报告情况，是否被出具保留意见、否定意见或者无法表示意见的审计报告，如是，是否经会计师事务所专项核查确认，确认该保留意见、否定意见或者无法表示意见所涉及事项的重大影响已经消除或者将通过本次交易予以消除；</w:t>
            </w:r>
          </w:p>
          <w:p w14:paraId="6504ECF2">
            <w:pPr>
              <w:numPr>
                <w:ilvl w:val="-1"/>
                <w:numId w:val="0"/>
              </w:numPr>
              <w:ind w:firstLine="480" w:firstLineChars="200"/>
              <w:rPr>
                <w:rFonts w:hint="default" w:ascii="Times New Roman" w:hAnsi="Times New Roman" w:eastAsia="仿宋_GB2312" w:cs="Times New Roman"/>
                <w:bCs/>
                <w:color w:val="auto"/>
                <w:kern w:val="0"/>
                <w:sz w:val="24"/>
                <w:highlight w:val="none"/>
              </w:rPr>
            </w:pPr>
            <w:r>
              <w:rPr>
                <w:rFonts w:hint="eastAsia" w:ascii="Times New Roman" w:hAnsi="Times New Roman" w:eastAsia="仿宋_GB2312" w:cs="Times New Roman"/>
                <w:bCs/>
                <w:color w:val="auto"/>
                <w:kern w:val="0"/>
                <w:sz w:val="24"/>
                <w:highlight w:val="none"/>
                <w:lang w:eastAsia="zh-CN"/>
              </w:rPr>
              <w:t>（</w:t>
            </w:r>
            <w:r>
              <w:rPr>
                <w:rFonts w:hint="eastAsia" w:ascii="Times New Roman" w:hAnsi="Times New Roman" w:eastAsia="仿宋_GB2312" w:cs="Times New Roman"/>
                <w:bCs/>
                <w:color w:val="auto"/>
                <w:kern w:val="0"/>
                <w:sz w:val="24"/>
                <w:highlight w:val="none"/>
                <w:lang w:val="en-US" w:eastAsia="zh-CN"/>
              </w:rPr>
              <w:t>8</w:t>
            </w:r>
            <w:r>
              <w:rPr>
                <w:rFonts w:hint="eastAsia" w:ascii="Times New Roman" w:hAnsi="Times New Roman" w:eastAsia="仿宋_GB2312" w:cs="Times New Roman"/>
                <w:bCs/>
                <w:color w:val="auto"/>
                <w:kern w:val="0"/>
                <w:sz w:val="24"/>
                <w:highlight w:val="none"/>
                <w:lang w:eastAsia="zh-CN"/>
              </w:rPr>
              <w:t>）</w:t>
            </w:r>
            <w:r>
              <w:rPr>
                <w:rFonts w:hint="default" w:ascii="Times New Roman" w:hAnsi="Times New Roman" w:eastAsia="仿宋_GB2312" w:cs="Times New Roman"/>
                <w:bCs/>
                <w:color w:val="auto"/>
                <w:kern w:val="0"/>
                <w:sz w:val="24"/>
                <w:highlight w:val="none"/>
              </w:rPr>
              <w:t>上市公司及其现任董事、高级管理人员因涉嫌犯罪正被司法机关立案侦查或涉嫌违法违规正被中国证监会立案调查的情形（如有）；</w:t>
            </w:r>
          </w:p>
          <w:p w14:paraId="10D21B63">
            <w:pPr>
              <w:numPr>
                <w:ilvl w:val="-1"/>
                <w:numId w:val="0"/>
              </w:numPr>
              <w:ind w:firstLine="480" w:firstLineChars="200"/>
              <w:rPr>
                <w:rFonts w:hint="default" w:ascii="Times New Roman" w:hAnsi="Times New Roman" w:eastAsia="仿宋_GB2312" w:cs="Times New Roman"/>
                <w:bCs/>
                <w:color w:val="auto"/>
                <w:kern w:val="0"/>
                <w:sz w:val="24"/>
                <w:highlight w:val="none"/>
              </w:rPr>
            </w:pPr>
            <w:r>
              <w:rPr>
                <w:rFonts w:hint="eastAsia" w:ascii="Times New Roman" w:hAnsi="Times New Roman" w:eastAsia="仿宋_GB2312" w:cs="Times New Roman"/>
                <w:bCs/>
                <w:color w:val="auto"/>
                <w:kern w:val="0"/>
                <w:sz w:val="24"/>
                <w:highlight w:val="none"/>
                <w:lang w:eastAsia="zh-CN"/>
              </w:rPr>
              <w:t>（</w:t>
            </w:r>
            <w:r>
              <w:rPr>
                <w:rFonts w:hint="eastAsia" w:ascii="Times New Roman" w:hAnsi="Times New Roman" w:eastAsia="仿宋_GB2312" w:cs="Times New Roman"/>
                <w:bCs/>
                <w:color w:val="auto"/>
                <w:kern w:val="0"/>
                <w:sz w:val="24"/>
                <w:highlight w:val="none"/>
                <w:lang w:val="en-US" w:eastAsia="zh-CN"/>
              </w:rPr>
              <w:t>9</w:t>
            </w:r>
            <w:r>
              <w:rPr>
                <w:rFonts w:hint="eastAsia" w:ascii="Times New Roman" w:hAnsi="Times New Roman" w:eastAsia="仿宋_GB2312" w:cs="Times New Roman"/>
                <w:bCs/>
                <w:color w:val="auto"/>
                <w:kern w:val="0"/>
                <w:sz w:val="24"/>
                <w:highlight w:val="none"/>
                <w:lang w:eastAsia="zh-CN"/>
              </w:rPr>
              <w:t>）</w:t>
            </w:r>
            <w:r>
              <w:rPr>
                <w:rFonts w:hint="default" w:ascii="Times New Roman" w:hAnsi="Times New Roman" w:eastAsia="仿宋_GB2312" w:cs="Times New Roman"/>
                <w:bCs/>
                <w:color w:val="auto"/>
                <w:kern w:val="0"/>
                <w:sz w:val="24"/>
                <w:highlight w:val="none"/>
              </w:rPr>
              <w:t>所购买资产与现有主营业务没有显著协同效应的</w:t>
            </w:r>
            <w:r>
              <w:rPr>
                <w:rFonts w:hint="default" w:ascii="Times New Roman" w:hAnsi="Times New Roman" w:eastAsia="仿宋_GB2312" w:cs="Times New Roman"/>
                <w:bCs/>
                <w:color w:val="auto"/>
                <w:kern w:val="0"/>
                <w:sz w:val="24"/>
                <w:highlight w:val="none"/>
                <w:lang w:eastAsia="zh-CN"/>
              </w:rPr>
              <w:t>，上市公司最近十二个月的规范运作情况、</w:t>
            </w:r>
            <w:r>
              <w:rPr>
                <w:rFonts w:hint="default" w:ascii="Times New Roman" w:hAnsi="Times New Roman" w:eastAsia="仿宋_GB2312" w:cs="Times New Roman"/>
                <w:bCs/>
                <w:color w:val="auto"/>
                <w:kern w:val="0"/>
                <w:sz w:val="24"/>
                <w:highlight w:val="none"/>
              </w:rPr>
              <w:t>本次交易后的经营发展战略和业务管理模式，以及业务转型升级可能面临的风险和应对措施</w:t>
            </w:r>
            <w:r>
              <w:rPr>
                <w:rFonts w:hint="default" w:ascii="Times New Roman" w:hAnsi="Times New Roman" w:eastAsia="仿宋_GB2312" w:cs="Times New Roman"/>
                <w:bCs/>
                <w:color w:val="auto"/>
                <w:kern w:val="0"/>
                <w:sz w:val="24"/>
                <w:highlight w:val="none"/>
                <w:lang w:eastAsia="zh-CN"/>
              </w:rPr>
              <w:t>；</w:t>
            </w:r>
          </w:p>
          <w:p w14:paraId="42A111F7">
            <w:pPr>
              <w:numPr>
                <w:ilvl w:val="-1"/>
                <w:numId w:val="0"/>
              </w:numPr>
              <w:ind w:firstLine="480" w:firstLineChars="200"/>
              <w:rPr>
                <w:rFonts w:hint="default" w:ascii="Times New Roman" w:hAnsi="Times New Roman" w:eastAsia="仿宋_GB2312" w:cs="Times New Roman"/>
                <w:bCs/>
                <w:color w:val="auto"/>
                <w:kern w:val="0"/>
                <w:sz w:val="24"/>
                <w:highlight w:val="none"/>
              </w:rPr>
            </w:pPr>
            <w:r>
              <w:rPr>
                <w:rFonts w:hint="eastAsia" w:ascii="Times New Roman" w:hAnsi="Times New Roman" w:eastAsia="仿宋_GB2312" w:cs="Times New Roman"/>
                <w:bCs/>
                <w:color w:val="auto"/>
                <w:kern w:val="0"/>
                <w:sz w:val="24"/>
                <w:highlight w:val="none"/>
                <w:lang w:eastAsia="zh-CN"/>
              </w:rPr>
              <w:t>（</w:t>
            </w:r>
            <w:r>
              <w:rPr>
                <w:rFonts w:hint="eastAsia" w:ascii="Times New Roman" w:hAnsi="Times New Roman" w:eastAsia="仿宋_GB2312" w:cs="Times New Roman"/>
                <w:bCs/>
                <w:color w:val="auto"/>
                <w:kern w:val="0"/>
                <w:sz w:val="24"/>
                <w:highlight w:val="none"/>
                <w:lang w:val="en-US" w:eastAsia="zh-CN"/>
              </w:rPr>
              <w:t>10</w:t>
            </w:r>
            <w:r>
              <w:rPr>
                <w:rFonts w:hint="eastAsia" w:ascii="Times New Roman" w:hAnsi="Times New Roman" w:eastAsia="仿宋_GB2312" w:cs="Times New Roman"/>
                <w:bCs/>
                <w:color w:val="auto"/>
                <w:kern w:val="0"/>
                <w:sz w:val="24"/>
                <w:highlight w:val="none"/>
                <w:lang w:eastAsia="zh-CN"/>
              </w:rPr>
              <w:t>）</w:t>
            </w:r>
            <w:r>
              <w:rPr>
                <w:rFonts w:hint="default" w:ascii="Times New Roman" w:hAnsi="Times New Roman" w:eastAsia="仿宋_GB2312" w:cs="Times New Roman"/>
                <w:bCs/>
                <w:color w:val="auto"/>
                <w:kern w:val="0"/>
                <w:sz w:val="24"/>
                <w:highlight w:val="none"/>
              </w:rPr>
              <w:t>分期发行股份支付购买资产对价的，首期发行时上市公司应当披露重组报告书，并在重组报告书中就后期股份不能发行的履约保障措施作出安排</w:t>
            </w:r>
            <w:r>
              <w:rPr>
                <w:rFonts w:hint="default" w:ascii="Times New Roman" w:hAnsi="Times New Roman" w:eastAsia="仿宋_GB2312" w:cs="Times New Roman"/>
                <w:bCs/>
                <w:color w:val="auto"/>
                <w:kern w:val="0"/>
                <w:sz w:val="24"/>
                <w:highlight w:val="none"/>
                <w:lang w:eastAsia="zh-CN"/>
              </w:rPr>
              <w:t>；</w:t>
            </w:r>
          </w:p>
          <w:p w14:paraId="779D334A">
            <w:pPr>
              <w:numPr>
                <w:ilvl w:val="-1"/>
                <w:numId w:val="0"/>
              </w:numPr>
              <w:ind w:firstLine="480" w:firstLineChars="200"/>
              <w:rPr>
                <w:rFonts w:hint="default" w:ascii="Times New Roman" w:hAnsi="Times New Roman" w:eastAsia="仿宋_GB2312" w:cs="Times New Roman"/>
                <w:bCs/>
                <w:color w:val="auto"/>
                <w:kern w:val="0"/>
                <w:sz w:val="24"/>
                <w:highlight w:val="none"/>
              </w:rPr>
            </w:pPr>
            <w:r>
              <w:rPr>
                <w:rFonts w:hint="eastAsia" w:ascii="Times New Roman" w:hAnsi="Times New Roman" w:eastAsia="仿宋_GB2312" w:cs="Times New Roman"/>
                <w:color w:val="auto"/>
                <w:sz w:val="24"/>
                <w:highlight w:val="none"/>
                <w:lang w:eastAsia="zh-CN"/>
              </w:rPr>
              <w:t>（</w:t>
            </w:r>
            <w:r>
              <w:rPr>
                <w:rFonts w:hint="eastAsia" w:ascii="Times New Roman" w:hAnsi="Times New Roman" w:eastAsia="仿宋_GB2312" w:cs="Times New Roman"/>
                <w:color w:val="auto"/>
                <w:sz w:val="24"/>
                <w:highlight w:val="none"/>
                <w:lang w:val="en-US" w:eastAsia="zh-CN"/>
              </w:rPr>
              <w:t>11</w:t>
            </w:r>
            <w:r>
              <w:rPr>
                <w:rFonts w:hint="eastAsia" w:ascii="Times New Roman" w:hAnsi="Times New Roman" w:eastAsia="仿宋_GB2312" w:cs="Times New Roman"/>
                <w:color w:val="auto"/>
                <w:sz w:val="24"/>
                <w:highlight w:val="none"/>
                <w:lang w:eastAsia="zh-CN"/>
              </w:rPr>
              <w:t>）</w:t>
            </w:r>
            <w:r>
              <w:rPr>
                <w:rFonts w:hint="default" w:ascii="Times New Roman" w:hAnsi="Times New Roman" w:eastAsia="仿宋_GB2312" w:cs="Times New Roman"/>
                <w:color w:val="auto"/>
                <w:sz w:val="24"/>
                <w:highlight w:val="none"/>
              </w:rPr>
              <w:t>《重组办法》第十一条、第四十三条</w:t>
            </w:r>
            <w:r>
              <w:rPr>
                <w:rFonts w:hint="default" w:ascii="Times New Roman" w:hAnsi="Times New Roman" w:eastAsia="仿宋_GB2312" w:cs="Times New Roman"/>
                <w:color w:val="auto"/>
                <w:sz w:val="24"/>
                <w:highlight w:val="none"/>
                <w:lang w:eastAsia="zh-CN"/>
              </w:rPr>
              <w:t>、第四十四条</w:t>
            </w:r>
            <w:r>
              <w:rPr>
                <w:rFonts w:hint="default" w:ascii="Times New Roman" w:hAnsi="Times New Roman" w:eastAsia="仿宋_GB2312" w:cs="Times New Roman"/>
                <w:color w:val="auto"/>
                <w:sz w:val="24"/>
                <w:highlight w:val="none"/>
              </w:rPr>
              <w:t>规定的其他条件。</w:t>
            </w:r>
          </w:p>
        </w:tc>
        <w:tc>
          <w:tcPr>
            <w:tcW w:w="5180" w:type="dxa"/>
            <w:noWrap/>
          </w:tcPr>
          <w:p w14:paraId="2C83311A">
            <w:pPr>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独立财务顾问应对以下事项进行核查，并在《独立财务顾问报告》中发表明确核查意见：</w:t>
            </w:r>
          </w:p>
          <w:p w14:paraId="1D884890">
            <w:pPr>
              <w:numPr>
                <w:ilvl w:val="255"/>
                <w:numId w:val="0"/>
              </w:numPr>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（1）本次交易是否符合《重组办法》第十一条相关规定；</w:t>
            </w:r>
          </w:p>
          <w:p w14:paraId="6DE09772">
            <w:pPr>
              <w:numPr>
                <w:ilvl w:val="255"/>
                <w:numId w:val="0"/>
              </w:numPr>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（2）本次交易是否符合《重组办法》第四十三条</w:t>
            </w:r>
            <w:r>
              <w:rPr>
                <w:rFonts w:hint="default" w:ascii="Times New Roman" w:hAnsi="Times New Roman" w:eastAsia="仿宋_GB2312" w:cs="Times New Roman"/>
                <w:bCs/>
                <w:color w:val="auto"/>
                <w:kern w:val="0"/>
                <w:sz w:val="24"/>
                <w:highlight w:val="none"/>
                <w:lang w:eastAsia="zh-CN"/>
              </w:rPr>
              <w:t>、第四十四条</w:t>
            </w:r>
            <w:r>
              <w:rPr>
                <w:rFonts w:hint="default" w:ascii="Times New Roman" w:hAnsi="Times New Roman" w:eastAsia="仿宋_GB2312" w:cs="Times New Roman"/>
                <w:bCs/>
                <w:color w:val="auto"/>
                <w:kern w:val="0"/>
                <w:sz w:val="24"/>
                <w:highlight w:val="none"/>
              </w:rPr>
              <w:t>的规定</w:t>
            </w:r>
            <w:r>
              <w:rPr>
                <w:rFonts w:hint="eastAsia" w:ascii="Times New Roman" w:hAnsi="Times New Roman" w:eastAsia="仿宋_GB2312" w:cs="Times New Roman"/>
                <w:bCs/>
                <w:color w:val="auto"/>
                <w:kern w:val="0"/>
                <w:sz w:val="24"/>
                <w:highlight w:val="none"/>
                <w:lang w:eastAsia="zh-CN"/>
              </w:rPr>
              <w:t>。</w:t>
            </w:r>
          </w:p>
          <w:p w14:paraId="1D575B5A">
            <w:pPr>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color w:val="auto"/>
                <w:sz w:val="24"/>
                <w:highlight w:val="none"/>
              </w:rPr>
              <w:t>律师应对上述事项进行核查，并发表明确核查意见。</w:t>
            </w:r>
          </w:p>
          <w:p w14:paraId="10F84AD3">
            <w:pPr>
              <w:ind w:firstLine="480" w:firstLineChars="200"/>
              <w:rPr>
                <w:rFonts w:hint="default" w:ascii="Times New Roman" w:hAnsi="Times New Roman" w:eastAsia="仿宋_GB2312" w:cs="Times New Roman"/>
                <w:bCs/>
                <w:color w:val="auto"/>
                <w:kern w:val="0"/>
                <w:sz w:val="24"/>
                <w:highlight w:val="none"/>
              </w:rPr>
            </w:pPr>
          </w:p>
        </w:tc>
        <w:tc>
          <w:tcPr>
            <w:tcW w:w="1732" w:type="dxa"/>
            <w:noWrap/>
          </w:tcPr>
          <w:p w14:paraId="253785BD">
            <w:pPr>
              <w:rPr>
                <w:rFonts w:hint="default" w:ascii="Times New Roman" w:hAnsi="Times New Roman" w:cs="Times New Roman"/>
                <w:highlight w:val="none"/>
                <w:lang w:eastAsia="zh-CN"/>
              </w:rPr>
            </w:pPr>
            <w:r>
              <w:rPr>
                <w:rFonts w:hint="default" w:ascii="Times New Roman" w:hAnsi="Times New Roman" w:eastAsia="仿宋_GB2312" w:cs="Times New Roman"/>
                <w:color w:val="auto"/>
                <w:sz w:val="24"/>
                <w:highlight w:val="none"/>
              </w:rPr>
              <w:t>《重组办法》第十一条、第四十三条</w:t>
            </w:r>
            <w:r>
              <w:rPr>
                <w:rFonts w:hint="default" w:ascii="Times New Roman" w:hAnsi="Times New Roman" w:eastAsia="仿宋_GB2312" w:cs="Times New Roman"/>
                <w:color w:val="auto"/>
                <w:sz w:val="24"/>
                <w:highlight w:val="none"/>
                <w:lang w:eastAsia="zh-CN"/>
              </w:rPr>
              <w:t>、第四十四条，《重组审核规则》第二十四条、第五十五条</w:t>
            </w:r>
          </w:p>
          <w:p w14:paraId="403BF2F8">
            <w:pPr>
              <w:pStyle w:val="2"/>
              <w:rPr>
                <w:rFonts w:hint="default" w:ascii="Times New Roman" w:hAnsi="Times New Roman" w:cs="Times New Roman"/>
                <w:highlight w:val="none"/>
                <w:lang w:eastAsia="zh-CN"/>
              </w:rPr>
            </w:pPr>
          </w:p>
        </w:tc>
      </w:tr>
      <w:tr w14:paraId="085B4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5" w:hRule="atLeast"/>
        </w:trPr>
        <w:tc>
          <w:tcPr>
            <w:tcW w:w="864" w:type="dxa"/>
            <w:noWrap/>
            <w:vAlign w:val="center"/>
          </w:tcPr>
          <w:p w14:paraId="56D7939B">
            <w:pPr>
              <w:jc w:val="center"/>
              <w:rPr>
                <w:rFonts w:hint="default" w:ascii="Times New Roman" w:hAnsi="Times New Roman" w:eastAsia="仿宋_GB2312" w:cs="Times New Roman"/>
                <w:b/>
                <w:bCs/>
                <w:color w:val="auto"/>
                <w:kern w:val="0"/>
                <w:sz w:val="24"/>
                <w:highlight w:val="none"/>
              </w:rPr>
            </w:pPr>
            <w:r>
              <w:rPr>
                <w:rFonts w:hint="default" w:ascii="Times New Roman" w:hAnsi="Times New Roman" w:eastAsia="仿宋_GB2312" w:cs="Times New Roman"/>
                <w:b/>
                <w:bCs/>
                <w:color w:val="auto"/>
                <w:kern w:val="0"/>
                <w:sz w:val="24"/>
                <w:highlight w:val="none"/>
              </w:rPr>
              <w:t>2-4</w:t>
            </w:r>
          </w:p>
        </w:tc>
        <w:tc>
          <w:tcPr>
            <w:tcW w:w="1390" w:type="dxa"/>
            <w:noWrap/>
            <w:vAlign w:val="center"/>
          </w:tcPr>
          <w:p w14:paraId="28CEFB80">
            <w:pPr>
              <w:rPr>
                <w:rFonts w:hint="default" w:ascii="Times New Roman" w:hAnsi="Times New Roman" w:eastAsia="仿宋_GB2312" w:cs="Times New Roman"/>
                <w:b/>
                <w:bCs/>
                <w:color w:val="auto"/>
                <w:kern w:val="0"/>
                <w:sz w:val="24"/>
                <w:highlight w:val="none"/>
              </w:rPr>
            </w:pPr>
            <w:r>
              <w:rPr>
                <w:rFonts w:hint="default" w:ascii="Times New Roman" w:hAnsi="Times New Roman" w:eastAsia="仿宋_GB2312" w:cs="Times New Roman"/>
                <w:b/>
                <w:bCs/>
                <w:color w:val="auto"/>
                <w:kern w:val="0"/>
                <w:sz w:val="24"/>
                <w:highlight w:val="none"/>
              </w:rPr>
              <w:t>重组上市条件</w:t>
            </w:r>
          </w:p>
        </w:tc>
        <w:tc>
          <w:tcPr>
            <w:tcW w:w="4884" w:type="dxa"/>
            <w:noWrap/>
          </w:tcPr>
          <w:p w14:paraId="6F55A496">
            <w:pPr>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上市公司应当在重组报告书中披露：</w:t>
            </w:r>
          </w:p>
          <w:p w14:paraId="37E9361E">
            <w:pPr>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（1）拟购买资产</w:t>
            </w:r>
            <w:r>
              <w:rPr>
                <w:rFonts w:hint="default" w:ascii="Times New Roman" w:hAnsi="Times New Roman" w:eastAsia="仿宋_GB2312" w:cs="Times New Roman"/>
                <w:bCs/>
                <w:color w:val="auto"/>
                <w:kern w:val="0"/>
                <w:sz w:val="24"/>
                <w:highlight w:val="none"/>
                <w:lang w:eastAsia="zh-CN"/>
              </w:rPr>
              <w:t>是否</w:t>
            </w:r>
            <w:r>
              <w:rPr>
                <w:rFonts w:hint="default" w:ascii="Times New Roman" w:hAnsi="Times New Roman" w:eastAsia="仿宋_GB2312" w:cs="Times New Roman"/>
                <w:bCs/>
                <w:color w:val="auto"/>
                <w:kern w:val="0"/>
                <w:sz w:val="24"/>
                <w:highlight w:val="none"/>
              </w:rPr>
              <w:t>符合《首次公开发行股票注册管理办法》（以下简称《首发管理办法》）第二章对于发行条件的要求情况；</w:t>
            </w:r>
          </w:p>
          <w:p w14:paraId="539C15F8">
            <w:pPr>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（2）拟购买资产</w:t>
            </w:r>
            <w:r>
              <w:rPr>
                <w:rFonts w:hint="default" w:ascii="Times New Roman" w:hAnsi="Times New Roman" w:eastAsia="仿宋_GB2312" w:cs="Times New Roman"/>
                <w:bCs/>
                <w:color w:val="auto"/>
                <w:kern w:val="0"/>
                <w:sz w:val="24"/>
                <w:highlight w:val="none"/>
                <w:lang w:eastAsia="zh-CN"/>
              </w:rPr>
              <w:t>是否</w:t>
            </w:r>
            <w:r>
              <w:rPr>
                <w:rFonts w:hint="default" w:ascii="Times New Roman" w:hAnsi="Times New Roman" w:eastAsia="仿宋_GB2312" w:cs="Times New Roman"/>
                <w:bCs/>
                <w:color w:val="auto"/>
                <w:kern w:val="0"/>
                <w:sz w:val="24"/>
                <w:highlight w:val="none"/>
              </w:rPr>
              <w:t>符合《首发管理办法》等相关规则对于板块定位的要求情况</w:t>
            </w:r>
            <w:r>
              <w:rPr>
                <w:rFonts w:hint="default" w:ascii="Times New Roman" w:hAnsi="Times New Roman" w:eastAsia="仿宋_GB2312" w:cs="Times New Roman"/>
                <w:bCs/>
                <w:color w:val="auto"/>
                <w:kern w:val="0"/>
                <w:sz w:val="24"/>
                <w:highlight w:val="none"/>
                <w:lang w:eastAsia="zh-CN"/>
              </w:rPr>
              <w:t>，并按照《上海证券交易所发行上市审核业务指南第4号——常见问题的信息披露和核查要求自查表 第一号 首次公开发行》（以下简称《首发自查表》）1-1、1-2的披露要求进行披露</w:t>
            </w:r>
            <w:r>
              <w:rPr>
                <w:rFonts w:hint="default" w:ascii="Times New Roman" w:hAnsi="Times New Roman" w:eastAsia="仿宋_GB2312" w:cs="Times New Roman"/>
                <w:bCs/>
                <w:color w:val="auto"/>
                <w:kern w:val="0"/>
                <w:sz w:val="24"/>
                <w:highlight w:val="none"/>
              </w:rPr>
              <w:t>；</w:t>
            </w:r>
          </w:p>
          <w:p w14:paraId="259B24AD">
            <w:pPr>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（3）拟购买资产</w:t>
            </w:r>
            <w:r>
              <w:rPr>
                <w:rFonts w:hint="default" w:ascii="Times New Roman" w:hAnsi="Times New Roman" w:eastAsia="仿宋_GB2312" w:cs="Times New Roman"/>
                <w:bCs/>
                <w:color w:val="auto"/>
                <w:kern w:val="0"/>
                <w:sz w:val="24"/>
                <w:highlight w:val="none"/>
                <w:lang w:eastAsia="zh-CN"/>
              </w:rPr>
              <w:t>是否</w:t>
            </w:r>
            <w:r>
              <w:rPr>
                <w:rFonts w:hint="default" w:ascii="Times New Roman" w:hAnsi="Times New Roman" w:eastAsia="仿宋_GB2312" w:cs="Times New Roman"/>
                <w:bCs/>
                <w:color w:val="auto"/>
                <w:kern w:val="0"/>
                <w:sz w:val="24"/>
                <w:highlight w:val="none"/>
              </w:rPr>
              <w:t>符合《重组审核规则》第十条、第十一条等对于重组上市条件的要求情况；</w:t>
            </w:r>
          </w:p>
          <w:p w14:paraId="65269F30">
            <w:pPr>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4）上市公司及其最近三年内的控股股东、实际控制人是否存在因涉嫌犯罪正在被司法机关立案侦查或涉嫌违法违规正被中国证监会立案调查的情形。但是，涉嫌犯罪或违法违规的行为已经终止满三年，交易方案能够消除该行为可能造成的不良后果，且不影响对相关行为人追究责任的除外；</w:t>
            </w:r>
          </w:p>
          <w:p w14:paraId="0457D218">
            <w:pPr>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（5）上市公司及其控股股东、实际控制人最近十二个月内是否受到证券交易所公开谴责，是否存在其他重大失信行为；</w:t>
            </w:r>
          </w:p>
          <w:p w14:paraId="39D1D0F3">
            <w:pPr>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6）根据《26号格式准则》第五十五条的规定，按照《公开发行证券的公司信息披露内容与格式准则第57号——招股说明书》（以下简称《57号格式准则》）相关章节的要求，对重组报告书的相关内容加以补充或调整。</w:t>
            </w:r>
          </w:p>
        </w:tc>
        <w:tc>
          <w:tcPr>
            <w:tcW w:w="5180" w:type="dxa"/>
            <w:noWrap/>
          </w:tcPr>
          <w:p w14:paraId="5C938506">
            <w:pPr>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独立财务顾问应对以下事项进行核查，并在《独立财务顾问报告》中发表明确核查意见：</w:t>
            </w:r>
          </w:p>
          <w:p w14:paraId="00699C39">
            <w:pPr>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（1）拟购买资产是否符合《首发管理办法》第二章对于发行条件的要求；</w:t>
            </w:r>
          </w:p>
          <w:p w14:paraId="53F5A00B">
            <w:pPr>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2）拟购买资产是否符合《首发管理办法》《科创属性评价指引（试行）》《上海证券交易所股票发行上市审核规则》《上海证券交易所科创板企业发行上市申报及推荐暂行规定》等规则对于板块定位的要求，并按照《首发自查表》1-1、1-2的核查要求对是否符合板块定位进行核查；</w:t>
            </w:r>
          </w:p>
          <w:p w14:paraId="3A5853FD">
            <w:pPr>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（3）拟购买资产是否符合《重组审核规则》第十条的要求；如拟购买资产为存在表决权差异安排的，核查拟购买资产是否符合《重组审核规则》第十一条的要求；</w:t>
            </w:r>
          </w:p>
          <w:p w14:paraId="2E78C510">
            <w:pPr>
              <w:ind w:firstLine="480" w:firstLineChars="200"/>
              <w:rPr>
                <w:rFonts w:hint="default" w:ascii="Times New Roman" w:hAnsi="Times New Roman" w:eastAsia="仿宋_GB2312" w:cs="Times New Roman"/>
                <w:bCs/>
                <w:color w:val="auto"/>
                <w:kern w:val="0"/>
                <w:sz w:val="24"/>
                <w:szCs w:val="24"/>
                <w:highlight w:val="none"/>
                <w:lang w:eastAsia="zh-CN"/>
              </w:rPr>
            </w:pPr>
            <w:r>
              <w:rPr>
                <w:rFonts w:hint="default" w:ascii="Times New Roman" w:hAnsi="Times New Roman" w:eastAsia="仿宋_GB2312" w:cs="Times New Roman"/>
                <w:bCs/>
                <w:color w:val="auto"/>
                <w:kern w:val="0"/>
                <w:sz w:val="24"/>
                <w:highlight w:val="none"/>
              </w:rPr>
              <w:t>（4）</w:t>
            </w:r>
            <w:r>
              <w:rPr>
                <w:rFonts w:hint="default" w:ascii="Times New Roman" w:hAnsi="Times New Roman" w:eastAsia="仿宋_GB2312" w:cs="Times New Roman"/>
                <w:bCs/>
                <w:color w:val="auto"/>
                <w:kern w:val="0"/>
                <w:sz w:val="24"/>
                <w:szCs w:val="24"/>
                <w:highlight w:val="none"/>
                <w:lang w:eastAsia="zh-CN"/>
              </w:rPr>
              <w:t>分期发行股份支付购买资产对价的，在计算《重组办法》第十三条第一款规定的相关标准时，核查是否将分期发行的各期股份合并计算（如适用）；</w:t>
            </w:r>
          </w:p>
          <w:p w14:paraId="174A8630">
            <w:pPr>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szCs w:val="24"/>
                <w:highlight w:val="none"/>
                <w:lang w:eastAsia="zh-CN"/>
              </w:rPr>
              <w:t>（</w:t>
            </w:r>
            <w:r>
              <w:rPr>
                <w:rFonts w:hint="default" w:ascii="Times New Roman" w:hAnsi="Times New Roman" w:eastAsia="仿宋_GB2312" w:cs="Times New Roman"/>
                <w:bCs/>
                <w:color w:val="auto"/>
                <w:kern w:val="0"/>
                <w:sz w:val="24"/>
                <w:szCs w:val="24"/>
                <w:highlight w:val="none"/>
                <w:lang w:val="en-US" w:eastAsia="zh-CN"/>
              </w:rPr>
              <w:t>5</w:t>
            </w:r>
            <w:r>
              <w:rPr>
                <w:rFonts w:hint="default" w:ascii="Times New Roman" w:hAnsi="Times New Roman" w:eastAsia="仿宋_GB2312" w:cs="Times New Roman"/>
                <w:bCs/>
                <w:color w:val="auto"/>
                <w:kern w:val="0"/>
                <w:sz w:val="24"/>
                <w:szCs w:val="24"/>
                <w:highlight w:val="none"/>
                <w:lang w:eastAsia="zh-CN"/>
              </w:rPr>
              <w:t>）</w:t>
            </w:r>
            <w:r>
              <w:rPr>
                <w:rFonts w:hint="default" w:ascii="Times New Roman" w:hAnsi="Times New Roman" w:eastAsia="仿宋_GB2312" w:cs="Times New Roman"/>
                <w:bCs/>
                <w:color w:val="auto"/>
                <w:kern w:val="0"/>
                <w:sz w:val="24"/>
                <w:highlight w:val="none"/>
              </w:rPr>
              <w:t>本次交易是否符合《重组办法》第十三条</w:t>
            </w:r>
            <w:r>
              <w:rPr>
                <w:rFonts w:hint="default" w:ascii="Times New Roman" w:hAnsi="Times New Roman" w:eastAsia="仿宋_GB2312" w:cs="Times New Roman"/>
                <w:bCs/>
                <w:color w:val="auto"/>
                <w:kern w:val="0"/>
                <w:sz w:val="24"/>
                <w:highlight w:val="none"/>
                <w:lang w:eastAsia="zh-CN"/>
              </w:rPr>
              <w:t>、第十四条</w:t>
            </w:r>
            <w:r>
              <w:rPr>
                <w:rFonts w:hint="default" w:ascii="Times New Roman" w:hAnsi="Times New Roman" w:eastAsia="仿宋_GB2312" w:cs="Times New Roman"/>
                <w:bCs/>
                <w:color w:val="auto"/>
                <w:kern w:val="0"/>
                <w:sz w:val="24"/>
                <w:highlight w:val="none"/>
              </w:rPr>
              <w:t>的相关规定</w:t>
            </w:r>
            <w:r>
              <w:rPr>
                <w:rFonts w:hint="default" w:ascii="Times New Roman" w:hAnsi="Times New Roman" w:eastAsia="仿宋_GB2312" w:cs="Times New Roman"/>
                <w:bCs/>
                <w:color w:val="auto"/>
                <w:kern w:val="0"/>
                <w:sz w:val="24"/>
                <w:highlight w:val="none"/>
                <w:lang w:eastAsia="zh-CN"/>
              </w:rPr>
              <w:t>；</w:t>
            </w:r>
          </w:p>
          <w:p w14:paraId="2E9CF668">
            <w:pPr>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w:t>
            </w:r>
            <w:r>
              <w:rPr>
                <w:rFonts w:hint="default" w:ascii="Times New Roman" w:hAnsi="Times New Roman" w:eastAsia="仿宋_GB2312" w:cs="Times New Roman"/>
                <w:bCs/>
                <w:color w:val="auto"/>
                <w:kern w:val="0"/>
                <w:sz w:val="24"/>
                <w:highlight w:val="none"/>
                <w:lang w:val="en-US" w:eastAsia="zh-CN"/>
              </w:rPr>
              <w:t>6</w:t>
            </w:r>
            <w:r>
              <w:rPr>
                <w:rFonts w:hint="default" w:ascii="Times New Roman" w:hAnsi="Times New Roman" w:eastAsia="仿宋_GB2312" w:cs="Times New Roman"/>
                <w:bCs/>
                <w:color w:val="auto"/>
                <w:kern w:val="0"/>
                <w:sz w:val="24"/>
                <w:highlight w:val="none"/>
              </w:rPr>
              <w:t>）本次交易构成分拆上市的，是否符合《上市公司分拆规则（试行）》的规定。</w:t>
            </w:r>
          </w:p>
          <w:p w14:paraId="36089577">
            <w:pPr>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律师应对上述事项进行核查，并发表明确核查意见。会计师应对（1）（3）（</w:t>
            </w:r>
            <w:r>
              <w:rPr>
                <w:rFonts w:hint="default" w:ascii="Times New Roman" w:hAnsi="Times New Roman" w:eastAsia="仿宋_GB2312" w:cs="Times New Roman"/>
                <w:bCs/>
                <w:color w:val="auto"/>
                <w:kern w:val="0"/>
                <w:sz w:val="24"/>
                <w:highlight w:val="none"/>
                <w:lang w:val="en-US" w:eastAsia="zh-CN"/>
              </w:rPr>
              <w:t>5</w:t>
            </w:r>
            <w:r>
              <w:rPr>
                <w:rFonts w:hint="default" w:ascii="Times New Roman" w:hAnsi="Times New Roman" w:eastAsia="仿宋_GB2312" w:cs="Times New Roman"/>
                <w:bCs/>
                <w:color w:val="auto"/>
                <w:kern w:val="0"/>
                <w:sz w:val="24"/>
                <w:highlight w:val="none"/>
              </w:rPr>
              <w:t>）（</w:t>
            </w:r>
            <w:r>
              <w:rPr>
                <w:rFonts w:hint="default" w:ascii="Times New Roman" w:hAnsi="Times New Roman" w:eastAsia="仿宋_GB2312" w:cs="Times New Roman"/>
                <w:bCs/>
                <w:color w:val="auto"/>
                <w:kern w:val="0"/>
                <w:sz w:val="24"/>
                <w:highlight w:val="none"/>
                <w:lang w:val="en-US" w:eastAsia="zh-CN"/>
              </w:rPr>
              <w:t>6</w:t>
            </w:r>
            <w:r>
              <w:rPr>
                <w:rFonts w:hint="default" w:ascii="Times New Roman" w:hAnsi="Times New Roman" w:eastAsia="仿宋_GB2312" w:cs="Times New Roman"/>
                <w:bCs/>
                <w:color w:val="auto"/>
                <w:kern w:val="0"/>
                <w:sz w:val="24"/>
                <w:highlight w:val="none"/>
              </w:rPr>
              <w:t>）进行核查，并发表明确核查意见。</w:t>
            </w:r>
          </w:p>
        </w:tc>
        <w:tc>
          <w:tcPr>
            <w:tcW w:w="1732" w:type="dxa"/>
            <w:noWrap/>
          </w:tcPr>
          <w:p w14:paraId="2D99F1D6">
            <w:pP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《重组办法》第十三条</w:t>
            </w:r>
            <w:r>
              <w:rPr>
                <w:rFonts w:hint="default" w:ascii="Times New Roman" w:hAnsi="Times New Roman" w:eastAsia="仿宋_GB2312" w:cs="Times New Roman"/>
                <w:color w:val="auto"/>
                <w:sz w:val="24"/>
                <w:highlight w:val="none"/>
                <w:lang w:eastAsia="zh-CN"/>
              </w:rPr>
              <w:t>、第十四条</w:t>
            </w:r>
            <w:r>
              <w:rPr>
                <w:rFonts w:hint="default" w:ascii="Times New Roman" w:hAnsi="Times New Roman" w:eastAsia="仿宋_GB2312" w:cs="Times New Roman"/>
                <w:color w:val="auto"/>
                <w:sz w:val="24"/>
                <w:highlight w:val="none"/>
              </w:rPr>
              <w:t>，《首发</w:t>
            </w:r>
            <w:r>
              <w:rPr>
                <w:rFonts w:hint="default" w:ascii="Times New Roman" w:hAnsi="Times New Roman" w:eastAsia="仿宋_GB2312" w:cs="Times New Roman"/>
                <w:color w:val="auto"/>
                <w:sz w:val="24"/>
                <w:highlight w:val="none"/>
                <w:lang w:eastAsia="zh-CN"/>
              </w:rPr>
              <w:t>管理</w:t>
            </w:r>
            <w:r>
              <w:rPr>
                <w:rFonts w:hint="default" w:ascii="Times New Roman" w:hAnsi="Times New Roman" w:eastAsia="仿宋_GB2312" w:cs="Times New Roman"/>
                <w:color w:val="auto"/>
                <w:sz w:val="24"/>
                <w:highlight w:val="none"/>
              </w:rPr>
              <w:t>办法》第二章、第三条，《26号格式准则》第五十五条、第五十六条，《57号格式准则》《科创属性评价指引（试行）》，《重组审核规则》第十条、第十一条，</w:t>
            </w:r>
            <w:r>
              <w:rPr>
                <w:rFonts w:hint="default" w:ascii="Times New Roman" w:hAnsi="Times New Roman" w:eastAsia="仿宋_GB2312" w:cs="Times New Roman"/>
                <w:bCs/>
                <w:color w:val="auto"/>
                <w:kern w:val="0"/>
                <w:sz w:val="24"/>
                <w:highlight w:val="none"/>
              </w:rPr>
              <w:t>《上海证券交易所股票发行上市审核规则》第三条、第十九条，</w:t>
            </w:r>
            <w:r>
              <w:rPr>
                <w:rFonts w:hint="default" w:ascii="Times New Roman" w:hAnsi="Times New Roman" w:eastAsia="仿宋_GB2312" w:cs="Times New Roman"/>
                <w:color w:val="auto"/>
                <w:sz w:val="24"/>
                <w:highlight w:val="none"/>
              </w:rPr>
              <w:t>《上海证券交易所科创板企业发行上市申报及推荐暂行规定》，《上市公司分拆规则（试行）》，《首发自查表》1-1、1-2</w:t>
            </w:r>
          </w:p>
        </w:tc>
      </w:tr>
      <w:tr w14:paraId="661AE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5" w:hRule="atLeast"/>
        </w:trPr>
        <w:tc>
          <w:tcPr>
            <w:tcW w:w="864" w:type="dxa"/>
            <w:noWrap/>
            <w:vAlign w:val="center"/>
          </w:tcPr>
          <w:p w14:paraId="2ADABFA8">
            <w:pPr>
              <w:jc w:val="center"/>
              <w:rPr>
                <w:rFonts w:hint="default" w:ascii="Times New Roman" w:hAnsi="Times New Roman" w:eastAsia="仿宋_GB2312" w:cs="Times New Roman"/>
                <w:b/>
                <w:bCs/>
                <w:color w:val="auto"/>
                <w:kern w:val="0"/>
                <w:sz w:val="24"/>
                <w:highlight w:val="none"/>
              </w:rPr>
            </w:pPr>
            <w:r>
              <w:rPr>
                <w:rFonts w:hint="default" w:ascii="Times New Roman" w:hAnsi="Times New Roman" w:eastAsia="仿宋_GB2312" w:cs="Times New Roman"/>
                <w:b/>
                <w:bCs/>
                <w:color w:val="auto"/>
                <w:kern w:val="0"/>
                <w:sz w:val="24"/>
                <w:highlight w:val="none"/>
              </w:rPr>
              <w:t>2-5</w:t>
            </w:r>
          </w:p>
        </w:tc>
        <w:tc>
          <w:tcPr>
            <w:tcW w:w="1390" w:type="dxa"/>
            <w:noWrap/>
            <w:vAlign w:val="center"/>
          </w:tcPr>
          <w:p w14:paraId="0EA961B2">
            <w:pPr>
              <w:rPr>
                <w:rFonts w:hint="default" w:ascii="Times New Roman" w:hAnsi="Times New Roman" w:eastAsia="仿宋_GB2312" w:cs="Times New Roman"/>
                <w:b/>
                <w:bCs/>
                <w:color w:val="auto"/>
                <w:kern w:val="0"/>
                <w:sz w:val="24"/>
                <w:highlight w:val="none"/>
              </w:rPr>
            </w:pPr>
            <w:r>
              <w:rPr>
                <w:rFonts w:hint="default" w:ascii="Times New Roman" w:hAnsi="Times New Roman" w:eastAsia="仿宋_GB2312" w:cs="Times New Roman"/>
                <w:b/>
                <w:bCs/>
                <w:color w:val="auto"/>
                <w:kern w:val="0"/>
                <w:sz w:val="24"/>
                <w:highlight w:val="none"/>
              </w:rPr>
              <w:t>募集配套资金条件</w:t>
            </w:r>
          </w:p>
        </w:tc>
        <w:tc>
          <w:tcPr>
            <w:tcW w:w="4884" w:type="dxa"/>
            <w:noWrap/>
          </w:tcPr>
          <w:p w14:paraId="26E1B77D">
            <w:pPr>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上市公司应当在重组报告书中披露：</w:t>
            </w:r>
          </w:p>
          <w:p w14:paraId="1F3C715D">
            <w:pPr>
              <w:numPr>
                <w:ilvl w:val="0"/>
                <w:numId w:val="4"/>
              </w:numPr>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color w:val="auto"/>
                <w:sz w:val="24"/>
                <w:highlight w:val="none"/>
              </w:rPr>
              <w:t>逐项披露是否符合</w:t>
            </w:r>
            <w:r>
              <w:rPr>
                <w:rFonts w:hint="default" w:ascii="Times New Roman" w:hAnsi="Times New Roman" w:eastAsia="仿宋_GB2312" w:cs="Times New Roman"/>
                <w:color w:val="auto"/>
                <w:sz w:val="24"/>
                <w:highlight w:val="none"/>
                <w:lang w:eastAsia="zh-CN"/>
              </w:rPr>
              <w:t>《再融资办法》</w:t>
            </w:r>
            <w:r>
              <w:rPr>
                <w:rFonts w:hint="default" w:ascii="Times New Roman" w:hAnsi="Times New Roman" w:eastAsia="仿宋_GB2312" w:cs="Times New Roman"/>
                <w:bCs/>
                <w:color w:val="auto"/>
                <w:kern w:val="0"/>
                <w:sz w:val="24"/>
                <w:highlight w:val="none"/>
              </w:rPr>
              <w:t>第十一条、</w:t>
            </w:r>
            <w:r>
              <w:rPr>
                <w:rFonts w:hint="default" w:ascii="Times New Roman" w:hAnsi="Times New Roman" w:eastAsia="仿宋_GB2312" w:cs="Times New Roman"/>
                <w:bCs/>
                <w:color w:val="auto"/>
                <w:kern w:val="0"/>
                <w:sz w:val="24"/>
                <w:highlight w:val="none"/>
                <w:lang w:eastAsia="zh-CN"/>
              </w:rPr>
              <w:t>第十二条、</w:t>
            </w:r>
            <w:r>
              <w:rPr>
                <w:rFonts w:hint="default" w:ascii="Times New Roman" w:hAnsi="Times New Roman" w:eastAsia="仿宋_GB2312" w:cs="Times New Roman"/>
                <w:bCs/>
                <w:color w:val="auto"/>
                <w:kern w:val="0"/>
                <w:sz w:val="24"/>
                <w:highlight w:val="none"/>
              </w:rPr>
              <w:t>第五十五条至第五十八条的规定；</w:t>
            </w:r>
          </w:p>
          <w:p w14:paraId="75464011">
            <w:pPr>
              <w:numPr>
                <w:ilvl w:val="0"/>
                <w:numId w:val="4"/>
              </w:numPr>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Cs/>
                <w:color w:val="auto"/>
                <w:kern w:val="0"/>
                <w:sz w:val="24"/>
                <w:highlight w:val="none"/>
              </w:rPr>
              <w:t>上市公司发行可转债募集配套资金的，还需披露是否符合</w:t>
            </w:r>
            <w:r>
              <w:rPr>
                <w:rFonts w:hint="default" w:ascii="Times New Roman" w:hAnsi="Times New Roman" w:eastAsia="仿宋_GB2312" w:cs="Times New Roman"/>
                <w:bCs/>
                <w:color w:val="auto"/>
                <w:kern w:val="0"/>
                <w:sz w:val="24"/>
                <w:highlight w:val="none"/>
                <w:lang w:eastAsia="zh-CN"/>
              </w:rPr>
              <w:t>《再融资办法》</w:t>
            </w:r>
            <w:r>
              <w:rPr>
                <w:rFonts w:hint="default" w:ascii="Times New Roman" w:hAnsi="Times New Roman" w:eastAsia="仿宋_GB2312" w:cs="Times New Roman"/>
                <w:bCs/>
                <w:color w:val="auto"/>
                <w:kern w:val="0"/>
                <w:sz w:val="24"/>
                <w:highlight w:val="none"/>
              </w:rPr>
              <w:t>第十三条</w:t>
            </w:r>
            <w:r>
              <w:rPr>
                <w:rFonts w:hint="default" w:ascii="Times New Roman" w:hAnsi="Times New Roman" w:eastAsia="仿宋_GB2312" w:cs="Times New Roman"/>
                <w:bCs/>
                <w:color w:val="auto"/>
                <w:kern w:val="0"/>
                <w:sz w:val="24"/>
                <w:highlight w:val="none"/>
                <w:lang w:eastAsia="zh-CN"/>
              </w:rPr>
              <w:t>至第十五条、第六十四条第二款的</w:t>
            </w:r>
            <w:r>
              <w:rPr>
                <w:rFonts w:hint="default" w:ascii="Times New Roman" w:hAnsi="Times New Roman" w:eastAsia="仿宋_GB2312" w:cs="Times New Roman"/>
                <w:bCs/>
                <w:color w:val="auto"/>
                <w:kern w:val="0"/>
                <w:sz w:val="24"/>
                <w:highlight w:val="none"/>
              </w:rPr>
              <w:t>规定。</w:t>
            </w:r>
          </w:p>
        </w:tc>
        <w:tc>
          <w:tcPr>
            <w:tcW w:w="5180" w:type="dxa"/>
            <w:noWrap/>
          </w:tcPr>
          <w:p w14:paraId="7A42D695">
            <w:pPr>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独立财务顾问应对以下事项进行核查，并在《独立财务顾问报告》中发表明确核查意见：</w:t>
            </w:r>
          </w:p>
          <w:p w14:paraId="30520F5A">
            <w:pPr>
              <w:numPr>
                <w:ilvl w:val="0"/>
                <w:numId w:val="5"/>
              </w:numPr>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募集配套资金是否符合</w:t>
            </w:r>
            <w:r>
              <w:rPr>
                <w:rFonts w:hint="default" w:ascii="Times New Roman" w:hAnsi="Times New Roman" w:eastAsia="仿宋_GB2312" w:cs="Times New Roman"/>
                <w:color w:val="auto"/>
                <w:sz w:val="24"/>
                <w:highlight w:val="none"/>
                <w:lang w:eastAsia="zh-CN"/>
              </w:rPr>
              <w:t>《再融资办法》</w:t>
            </w:r>
            <w:r>
              <w:rPr>
                <w:rFonts w:hint="default" w:ascii="Times New Roman" w:hAnsi="Times New Roman" w:eastAsia="仿宋_GB2312" w:cs="Times New Roman"/>
                <w:bCs/>
                <w:color w:val="auto"/>
                <w:kern w:val="0"/>
                <w:sz w:val="24"/>
                <w:highlight w:val="none"/>
              </w:rPr>
              <w:t>第十一条、</w:t>
            </w:r>
            <w:r>
              <w:rPr>
                <w:rFonts w:hint="default" w:ascii="Times New Roman" w:hAnsi="Times New Roman" w:eastAsia="仿宋_GB2312" w:cs="Times New Roman"/>
                <w:bCs/>
                <w:color w:val="auto"/>
                <w:kern w:val="0"/>
                <w:sz w:val="24"/>
                <w:highlight w:val="none"/>
                <w:lang w:eastAsia="zh-CN"/>
              </w:rPr>
              <w:t>第十二条、</w:t>
            </w:r>
            <w:r>
              <w:rPr>
                <w:rFonts w:hint="default" w:ascii="Times New Roman" w:hAnsi="Times New Roman" w:eastAsia="仿宋_GB2312" w:cs="Times New Roman"/>
                <w:bCs/>
                <w:color w:val="auto"/>
                <w:kern w:val="0"/>
                <w:sz w:val="24"/>
                <w:highlight w:val="none"/>
              </w:rPr>
              <w:t>第五十五条至第五十八条的规定；</w:t>
            </w:r>
          </w:p>
          <w:p w14:paraId="5F2EB49E">
            <w:pPr>
              <w:numPr>
                <w:ilvl w:val="0"/>
                <w:numId w:val="5"/>
              </w:numPr>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上市公司发行可转债募集配套资金的，还需核查是否符合</w:t>
            </w:r>
            <w:r>
              <w:rPr>
                <w:rFonts w:hint="default" w:ascii="Times New Roman" w:hAnsi="Times New Roman" w:eastAsia="仿宋_GB2312" w:cs="Times New Roman"/>
                <w:bCs/>
                <w:color w:val="auto"/>
                <w:kern w:val="0"/>
                <w:sz w:val="24"/>
                <w:highlight w:val="none"/>
                <w:lang w:eastAsia="zh-CN"/>
              </w:rPr>
              <w:t>《再融资办法》</w:t>
            </w:r>
            <w:r>
              <w:rPr>
                <w:rFonts w:hint="default" w:ascii="Times New Roman" w:hAnsi="Times New Roman" w:eastAsia="仿宋_GB2312" w:cs="Times New Roman"/>
                <w:bCs/>
                <w:color w:val="auto"/>
                <w:kern w:val="0"/>
                <w:sz w:val="24"/>
                <w:highlight w:val="none"/>
              </w:rPr>
              <w:t>第十三条</w:t>
            </w:r>
            <w:r>
              <w:rPr>
                <w:rFonts w:hint="default" w:ascii="Times New Roman" w:hAnsi="Times New Roman" w:eastAsia="仿宋_GB2312" w:cs="Times New Roman"/>
                <w:bCs/>
                <w:color w:val="auto"/>
                <w:kern w:val="0"/>
                <w:sz w:val="24"/>
                <w:highlight w:val="none"/>
                <w:lang w:eastAsia="zh-CN"/>
              </w:rPr>
              <w:t>至第十五条、第六十四条第二款</w:t>
            </w:r>
            <w:r>
              <w:rPr>
                <w:rFonts w:hint="default" w:ascii="Times New Roman" w:hAnsi="Times New Roman" w:eastAsia="仿宋_GB2312" w:cs="Times New Roman"/>
                <w:bCs/>
                <w:color w:val="auto"/>
                <w:kern w:val="0"/>
                <w:sz w:val="24"/>
                <w:highlight w:val="none"/>
              </w:rPr>
              <w:t>的规定。</w:t>
            </w:r>
          </w:p>
          <w:p w14:paraId="7BE655BC">
            <w:pPr>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律师应对上述事项进行核查，并发表明确核查意见。</w:t>
            </w:r>
          </w:p>
        </w:tc>
        <w:tc>
          <w:tcPr>
            <w:tcW w:w="1732" w:type="dxa"/>
            <w:noWrap/>
          </w:tcPr>
          <w:p w14:paraId="721FD328">
            <w:pP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lang w:eastAsia="zh-CN"/>
              </w:rPr>
              <w:t>《再融资办法》</w:t>
            </w:r>
            <w:r>
              <w:rPr>
                <w:rFonts w:hint="default" w:ascii="Times New Roman" w:hAnsi="Times New Roman" w:eastAsia="仿宋_GB2312" w:cs="Times New Roman"/>
                <w:color w:val="auto"/>
                <w:sz w:val="24"/>
                <w:highlight w:val="none"/>
              </w:rPr>
              <w:t>第十一条</w:t>
            </w:r>
            <w:r>
              <w:rPr>
                <w:rFonts w:hint="default" w:ascii="Times New Roman" w:hAnsi="Times New Roman" w:eastAsia="仿宋_GB2312" w:cs="Times New Roman"/>
                <w:color w:val="auto"/>
                <w:sz w:val="24"/>
                <w:highlight w:val="none"/>
                <w:lang w:eastAsia="zh-CN"/>
              </w:rPr>
              <w:t>至第十五条、</w:t>
            </w:r>
            <w:r>
              <w:rPr>
                <w:rFonts w:hint="default" w:ascii="Times New Roman" w:hAnsi="Times New Roman" w:eastAsia="仿宋_GB2312" w:cs="Times New Roman"/>
                <w:bCs/>
                <w:color w:val="auto"/>
                <w:kern w:val="0"/>
                <w:sz w:val="24"/>
                <w:highlight w:val="none"/>
              </w:rPr>
              <w:t>第五十五条至第五十</w:t>
            </w:r>
            <w:r>
              <w:rPr>
                <w:rFonts w:hint="default" w:ascii="Times New Roman" w:hAnsi="Times New Roman" w:eastAsia="仿宋_GB2312" w:cs="Times New Roman"/>
                <w:bCs/>
                <w:color w:val="auto"/>
                <w:kern w:val="0"/>
                <w:sz w:val="24"/>
                <w:highlight w:val="none"/>
                <w:lang w:eastAsia="zh-CN"/>
              </w:rPr>
              <w:t>八</w:t>
            </w:r>
            <w:r>
              <w:rPr>
                <w:rFonts w:hint="default" w:ascii="Times New Roman" w:hAnsi="Times New Roman" w:eastAsia="仿宋_GB2312" w:cs="Times New Roman"/>
                <w:bCs/>
                <w:color w:val="auto"/>
                <w:kern w:val="0"/>
                <w:sz w:val="24"/>
                <w:highlight w:val="none"/>
              </w:rPr>
              <w:t>条</w:t>
            </w:r>
            <w:r>
              <w:rPr>
                <w:rFonts w:hint="default" w:ascii="Times New Roman" w:hAnsi="Times New Roman" w:eastAsia="仿宋_GB2312" w:cs="Times New Roman"/>
                <w:bCs/>
                <w:color w:val="auto"/>
                <w:kern w:val="0"/>
                <w:sz w:val="24"/>
                <w:highlight w:val="none"/>
                <w:lang w:eastAsia="zh-CN"/>
              </w:rPr>
              <w:t>、第六十四条第二款</w:t>
            </w:r>
            <w:r>
              <w:rPr>
                <w:rFonts w:hint="default" w:ascii="Times New Roman" w:hAnsi="Times New Roman" w:eastAsia="仿宋_GB2312" w:cs="Times New Roman"/>
                <w:color w:val="auto"/>
                <w:sz w:val="24"/>
                <w:highlight w:val="none"/>
              </w:rPr>
              <w:t>，《26号格式准则》第六十四条、第六十五条</w:t>
            </w:r>
          </w:p>
        </w:tc>
      </w:tr>
      <w:tr w14:paraId="57429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5" w:hRule="atLeast"/>
        </w:trPr>
        <w:tc>
          <w:tcPr>
            <w:tcW w:w="864" w:type="dxa"/>
            <w:noWrap/>
            <w:vAlign w:val="center"/>
          </w:tcPr>
          <w:p w14:paraId="55E1742B">
            <w:pPr>
              <w:jc w:val="center"/>
              <w:rPr>
                <w:rFonts w:hint="default" w:ascii="Times New Roman" w:hAnsi="Times New Roman" w:eastAsia="仿宋_GB2312" w:cs="Times New Roman"/>
                <w:b/>
                <w:bCs/>
                <w:color w:val="auto"/>
                <w:kern w:val="0"/>
                <w:sz w:val="24"/>
                <w:highlight w:val="none"/>
              </w:rPr>
            </w:pPr>
            <w:r>
              <w:rPr>
                <w:rFonts w:hint="default" w:ascii="Times New Roman" w:hAnsi="Times New Roman" w:eastAsia="仿宋_GB2312" w:cs="Times New Roman"/>
                <w:b/>
                <w:bCs/>
                <w:color w:val="auto"/>
                <w:kern w:val="0"/>
                <w:sz w:val="24"/>
                <w:highlight w:val="none"/>
              </w:rPr>
              <w:t>2-6</w:t>
            </w:r>
          </w:p>
        </w:tc>
        <w:tc>
          <w:tcPr>
            <w:tcW w:w="1390" w:type="dxa"/>
            <w:noWrap/>
            <w:vAlign w:val="center"/>
          </w:tcPr>
          <w:p w14:paraId="3CC9CE7F">
            <w:pPr>
              <w:rPr>
                <w:rFonts w:hint="default" w:ascii="Times New Roman" w:hAnsi="Times New Roman" w:eastAsia="仿宋_GB2312" w:cs="Times New Roman"/>
                <w:b/>
                <w:bCs/>
                <w:color w:val="auto"/>
                <w:kern w:val="0"/>
                <w:sz w:val="24"/>
                <w:highlight w:val="none"/>
              </w:rPr>
            </w:pPr>
            <w:r>
              <w:rPr>
                <w:rFonts w:hint="default" w:ascii="Times New Roman" w:hAnsi="Times New Roman" w:eastAsia="仿宋_GB2312" w:cs="Times New Roman"/>
                <w:b/>
                <w:bCs/>
                <w:color w:val="auto"/>
                <w:kern w:val="0"/>
                <w:sz w:val="24"/>
                <w:highlight w:val="none"/>
              </w:rPr>
              <w:t>标的资产——行业准入及经营资质等</w:t>
            </w:r>
          </w:p>
        </w:tc>
        <w:tc>
          <w:tcPr>
            <w:tcW w:w="4884" w:type="dxa"/>
            <w:noWrap/>
          </w:tcPr>
          <w:p w14:paraId="2D05E4BE">
            <w:pPr>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上市公司</w:t>
            </w:r>
            <w:r>
              <w:rPr>
                <w:rFonts w:hint="default" w:ascii="Times New Roman" w:hAnsi="Times New Roman" w:eastAsia="仿宋_GB2312" w:cs="Times New Roman"/>
                <w:bCs/>
                <w:color w:val="auto"/>
                <w:kern w:val="0"/>
                <w:sz w:val="24"/>
                <w:highlight w:val="none"/>
              </w:rPr>
              <w:t>应当</w:t>
            </w:r>
            <w:r>
              <w:rPr>
                <w:rFonts w:hint="default" w:ascii="Times New Roman" w:hAnsi="Times New Roman" w:eastAsia="仿宋_GB2312" w:cs="Times New Roman"/>
                <w:color w:val="auto"/>
                <w:sz w:val="24"/>
                <w:highlight w:val="none"/>
              </w:rPr>
              <w:t>在重组报告书中披露：</w:t>
            </w:r>
          </w:p>
          <w:p w14:paraId="627DDC11">
            <w:pPr>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（1）拟购买资产涉及的土地使用权、矿业权等资源类权利是否已取得相应的权属证书，是否已具备相应的开发或开采条件，以及土地出让金、矿业权价款等费用的缴纳情况；</w:t>
            </w:r>
          </w:p>
          <w:p w14:paraId="08A507FE">
            <w:pPr>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（2）拟购买资产涉及立项、环保、行业准入、用地、规划、施工建设等有关报批事项的，是否已取得相应的许可证书或相关主管部门的批复文件；</w:t>
            </w:r>
          </w:p>
          <w:p w14:paraId="13916EE7">
            <w:pPr>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（3）拟购买资产涉及特许经营权的，主要包括特许经营权的取得情况、期限、费用标准，以及对拟购买资产持续生产经营的影响；</w:t>
            </w:r>
          </w:p>
          <w:p w14:paraId="3F458D92">
            <w:pPr>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color w:val="auto"/>
                <w:sz w:val="24"/>
                <w:highlight w:val="none"/>
              </w:rPr>
              <w:t>（4）拟购买资产及其合并报表范围内各级子公司是否取得从事生产经营活动所必需的行业准入、经营资质等情况。</w:t>
            </w:r>
          </w:p>
        </w:tc>
        <w:tc>
          <w:tcPr>
            <w:tcW w:w="5180" w:type="dxa"/>
            <w:noWrap/>
          </w:tcPr>
          <w:p w14:paraId="6CCD3A5E">
            <w:pPr>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独立财务顾问应对以下事项进行核查，并在《独立财务顾问报告》中发表明确核查意见：</w:t>
            </w:r>
          </w:p>
          <w:p w14:paraId="2DC551CD">
            <w:pPr>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（1）标的资产从事业务是否存在行业准入、经营资质等特殊要求，如是，</w:t>
            </w:r>
            <w:r>
              <w:rPr>
                <w:rFonts w:hint="default" w:ascii="Times New Roman" w:hAnsi="Times New Roman" w:eastAsia="仿宋_GB2312" w:cs="Times New Roman"/>
                <w:bCs/>
                <w:color w:val="auto"/>
                <w:kern w:val="0"/>
                <w:sz w:val="24"/>
                <w:highlight w:val="none"/>
              </w:rPr>
              <w:t>是否取得从事生产经营活动所必需的相关许可、资质、认证等，生产经营是否合法合规</w:t>
            </w:r>
            <w:r>
              <w:rPr>
                <w:rFonts w:hint="eastAsia" w:ascii="Times New Roman" w:hAnsi="Times New Roman" w:eastAsia="仿宋_GB2312" w:cs="Times New Roman"/>
                <w:bCs/>
                <w:color w:val="auto"/>
                <w:kern w:val="0"/>
                <w:sz w:val="24"/>
                <w:highlight w:val="none"/>
                <w:lang w:eastAsia="zh-CN"/>
              </w:rPr>
              <w:t>；</w:t>
            </w:r>
          </w:p>
          <w:p w14:paraId="5B396FC7">
            <w:pPr>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（2）涉及土地使用权、矿业权等资源类权利的，是否已取得土地使用权证书、采矿权证书，土地出让金、矿业权价款等费用的缴纳情况；采矿权证书的具体内容，相关矿产是否已具备相关开发或开采条件；</w:t>
            </w:r>
          </w:p>
          <w:p w14:paraId="55FB7BB6">
            <w:pPr>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（3）涉及立项、环保等有关报批事项的，是否已取得相应的许可证书或相关主管部门的批复文件，如未取得，未取得的原因及影响，上市公司是否按照《26号格式准则》第十八条进行特别提示；</w:t>
            </w:r>
          </w:p>
          <w:p w14:paraId="5D59ADA8">
            <w:pPr>
              <w:numPr>
                <w:ilvl w:val="255"/>
                <w:numId w:val="0"/>
              </w:numPr>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w:t>
            </w:r>
            <w:r>
              <w:rPr>
                <w:rFonts w:hint="default" w:ascii="Times New Roman" w:hAnsi="Times New Roman" w:eastAsia="仿宋_GB2312" w:cs="Times New Roman"/>
                <w:color w:val="auto"/>
                <w:sz w:val="24"/>
                <w:highlight w:val="none"/>
              </w:rPr>
              <w:t>4</w:t>
            </w:r>
            <w:r>
              <w:rPr>
                <w:rFonts w:hint="default" w:ascii="Times New Roman" w:hAnsi="Times New Roman" w:eastAsia="仿宋_GB2312" w:cs="Times New Roman"/>
                <w:bCs/>
                <w:color w:val="auto"/>
                <w:kern w:val="0"/>
                <w:sz w:val="24"/>
                <w:highlight w:val="none"/>
              </w:rPr>
              <w:t>）涉及特许经营权的，特许经营权的</w:t>
            </w:r>
            <w:r>
              <w:rPr>
                <w:rFonts w:hint="default" w:ascii="Times New Roman" w:hAnsi="Times New Roman" w:eastAsia="仿宋_GB2312" w:cs="Times New Roman"/>
                <w:color w:val="auto"/>
                <w:sz w:val="24"/>
                <w:highlight w:val="none"/>
              </w:rPr>
              <w:t>取得情况、期限、费用标准，主要</w:t>
            </w:r>
            <w:r>
              <w:rPr>
                <w:rFonts w:hint="default" w:ascii="Times New Roman" w:hAnsi="Times New Roman" w:eastAsia="仿宋_GB2312" w:cs="Times New Roman"/>
                <w:bCs/>
                <w:color w:val="auto"/>
                <w:kern w:val="0"/>
                <w:sz w:val="24"/>
                <w:highlight w:val="none"/>
              </w:rPr>
              <w:t>权利义务情况，以及</w:t>
            </w:r>
            <w:r>
              <w:rPr>
                <w:rFonts w:hint="default" w:ascii="Times New Roman" w:hAnsi="Times New Roman" w:eastAsia="仿宋_GB2312" w:cs="Times New Roman"/>
                <w:color w:val="auto"/>
                <w:sz w:val="24"/>
                <w:highlight w:val="none"/>
              </w:rPr>
              <w:t>对拟购买资产持续生产经营的影响</w:t>
            </w:r>
            <w:r>
              <w:rPr>
                <w:rFonts w:hint="default" w:ascii="Times New Roman" w:hAnsi="Times New Roman" w:eastAsia="仿宋_GB2312" w:cs="Times New Roman"/>
                <w:bCs/>
                <w:color w:val="auto"/>
                <w:kern w:val="0"/>
                <w:sz w:val="24"/>
                <w:highlight w:val="none"/>
              </w:rPr>
              <w:t>；</w:t>
            </w:r>
          </w:p>
          <w:p w14:paraId="5A7B8B20">
            <w:pPr>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律师应对上述事项进行核查，并发表明确核查意见。</w:t>
            </w:r>
          </w:p>
        </w:tc>
        <w:tc>
          <w:tcPr>
            <w:tcW w:w="1732" w:type="dxa"/>
            <w:noWrap/>
          </w:tcPr>
          <w:p w14:paraId="29D10884">
            <w:pP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《26号格式准则》第十八条、二十二条</w:t>
            </w:r>
          </w:p>
        </w:tc>
      </w:tr>
      <w:tr w14:paraId="301E9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4" w:type="dxa"/>
            <w:noWrap/>
            <w:vAlign w:val="center"/>
          </w:tcPr>
          <w:p w14:paraId="46D2CB8E">
            <w:pPr>
              <w:jc w:val="center"/>
              <w:rPr>
                <w:rFonts w:hint="default" w:ascii="Times New Roman" w:hAnsi="Times New Roman" w:eastAsia="仿宋_GB2312" w:cs="Times New Roman"/>
                <w:b/>
                <w:bCs/>
                <w:color w:val="auto"/>
                <w:kern w:val="0"/>
                <w:sz w:val="24"/>
                <w:highlight w:val="none"/>
              </w:rPr>
            </w:pPr>
            <w:r>
              <w:rPr>
                <w:rFonts w:hint="default" w:ascii="Times New Roman" w:hAnsi="Times New Roman" w:eastAsia="仿宋_GB2312" w:cs="Times New Roman"/>
                <w:b/>
                <w:bCs/>
                <w:color w:val="auto"/>
                <w:kern w:val="0"/>
                <w:sz w:val="24"/>
                <w:highlight w:val="none"/>
              </w:rPr>
              <w:t>2-7</w:t>
            </w:r>
          </w:p>
        </w:tc>
        <w:tc>
          <w:tcPr>
            <w:tcW w:w="1390" w:type="dxa"/>
            <w:noWrap/>
            <w:vAlign w:val="center"/>
          </w:tcPr>
          <w:p w14:paraId="78650D34">
            <w:pPr>
              <w:rPr>
                <w:rFonts w:hint="default" w:ascii="Times New Roman" w:hAnsi="Times New Roman" w:eastAsia="仿宋_GB2312" w:cs="Times New Roman"/>
                <w:b/>
                <w:bCs/>
                <w:color w:val="auto"/>
                <w:kern w:val="0"/>
                <w:sz w:val="24"/>
                <w:highlight w:val="none"/>
              </w:rPr>
            </w:pPr>
            <w:r>
              <w:rPr>
                <w:rFonts w:hint="default" w:ascii="Times New Roman" w:hAnsi="Times New Roman" w:eastAsia="仿宋_GB2312" w:cs="Times New Roman"/>
                <w:b/>
                <w:bCs/>
                <w:color w:val="auto"/>
                <w:kern w:val="0"/>
                <w:sz w:val="24"/>
                <w:highlight w:val="none"/>
              </w:rPr>
              <w:t>标的资产——权属状况</w:t>
            </w:r>
          </w:p>
        </w:tc>
        <w:tc>
          <w:tcPr>
            <w:tcW w:w="4884" w:type="dxa"/>
            <w:noWrap/>
          </w:tcPr>
          <w:p w14:paraId="5D616090">
            <w:pPr>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上市公司应当在重组报告书中披露：</w:t>
            </w:r>
          </w:p>
          <w:p w14:paraId="6D5C041B">
            <w:pPr>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（1）拟购买资产的历史沿革，包括设立情况、历次增减资或股权转让情况，是否存在出资瑕疵或影响其合法存续的情况；</w:t>
            </w:r>
          </w:p>
          <w:p w14:paraId="12E87983">
            <w:pPr>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拟购买资产最近三年增减资及股权转让的原因、作价依据及其合理性，股权变动相关方的关联关系，是否履行必要的审议和批准程序，是否符合相关法律法规及公司章程的规定，是否存在违反限制或禁止性规定而转让的情形；</w:t>
            </w:r>
          </w:p>
          <w:p w14:paraId="3B864E6E">
            <w:pPr>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拟购买标的资产股权和其主要资产的权属状况、对外担保情况及主要负债、或有负债情况，产权是否清晰，是否存在抵押、质押等权利限制，是否涉及诉讼、仲裁、司法强制执行等重大争议或者存在妨碍权属转移的其他情况。</w:t>
            </w:r>
          </w:p>
        </w:tc>
        <w:tc>
          <w:tcPr>
            <w:tcW w:w="5180" w:type="dxa"/>
            <w:noWrap/>
          </w:tcPr>
          <w:p w14:paraId="04775D86">
            <w:pPr>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独立财务顾问应对以下事项进行核查，并在《独立财务顾问报告》中发表明确核查意见：</w:t>
            </w:r>
          </w:p>
          <w:p w14:paraId="2E1A353F">
            <w:pPr>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1）拟购买标的资产权属是否清晰，是否存在对外担保，主要负债、或有负债情况，是否存在抵押、质押等权利限制，是否涉及诉讼、仲裁、司法保全、司法强制执行等重大争议或者存在妨碍权属转移的其他情况；</w:t>
            </w:r>
          </w:p>
          <w:p w14:paraId="77220F7F">
            <w:pPr>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2）拟购买标的公司的主要资产，如核心专利、商标、技术、主要机器设备、土地厂房等对公司持续经营存在重大影响的资产，使用是否受限，权属是否清晰，是否存在对外担保，是否存在抵押、质押等权利限制，是否涉及诉讼、仲裁、司法保全、司法强制执行等重大争议；</w:t>
            </w:r>
          </w:p>
          <w:p w14:paraId="6D57EF08">
            <w:pPr>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（3）如主要资产、主要产品涉诉，应当审慎判断对标的资产持续经营能力或盈利能力产生的重大不利影响，并就本次交易是否符合《重组办法》第十一条和第四十</w:t>
            </w:r>
            <w:r>
              <w:rPr>
                <w:rFonts w:hint="default" w:ascii="Times New Roman" w:hAnsi="Times New Roman" w:eastAsia="仿宋_GB2312" w:cs="Times New Roman"/>
                <w:bCs/>
                <w:color w:val="auto"/>
                <w:kern w:val="0"/>
                <w:sz w:val="24"/>
                <w:highlight w:val="none"/>
                <w:lang w:eastAsia="zh-CN"/>
              </w:rPr>
              <w:t>四</w:t>
            </w:r>
            <w:r>
              <w:rPr>
                <w:rFonts w:hint="default" w:ascii="Times New Roman" w:hAnsi="Times New Roman" w:eastAsia="仿宋_GB2312" w:cs="Times New Roman"/>
                <w:bCs/>
                <w:color w:val="auto"/>
                <w:kern w:val="0"/>
                <w:sz w:val="24"/>
                <w:highlight w:val="none"/>
              </w:rPr>
              <w:t>条的规定审慎发表核查意见；</w:t>
            </w:r>
          </w:p>
          <w:p w14:paraId="090F2B64">
            <w:pPr>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（4）如败诉涉及赔偿，相关责任的承担主体、相关会计处理、或有负债计提是否充分、超过预计损失部分的补偿安排。</w:t>
            </w:r>
          </w:p>
          <w:p w14:paraId="35B6A008">
            <w:pPr>
              <w:widowControl/>
              <w:numPr>
                <w:ilvl w:val="255"/>
                <w:numId w:val="0"/>
              </w:numPr>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律师应对上述事项进行核查，并发表明确核查意见。会计师应对（4）进行核查，并发表明确核查意见。</w:t>
            </w:r>
          </w:p>
        </w:tc>
        <w:tc>
          <w:tcPr>
            <w:tcW w:w="1732" w:type="dxa"/>
            <w:noWrap/>
          </w:tcPr>
          <w:p w14:paraId="33064372">
            <w:pP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《重组办法》第十一条、第四十</w:t>
            </w:r>
            <w:r>
              <w:rPr>
                <w:rFonts w:hint="default" w:ascii="Times New Roman" w:hAnsi="Times New Roman" w:eastAsia="仿宋_GB2312" w:cs="Times New Roman"/>
                <w:color w:val="auto"/>
                <w:sz w:val="24"/>
                <w:highlight w:val="none"/>
                <w:lang w:eastAsia="zh-CN"/>
              </w:rPr>
              <w:t>四</w:t>
            </w:r>
            <w:r>
              <w:rPr>
                <w:rFonts w:hint="default" w:ascii="Times New Roman" w:hAnsi="Times New Roman" w:eastAsia="仿宋_GB2312" w:cs="Times New Roman"/>
                <w:color w:val="auto"/>
                <w:sz w:val="24"/>
                <w:highlight w:val="none"/>
              </w:rPr>
              <w:t>条，《26号格式准则》第十六条、第十七条</w:t>
            </w:r>
          </w:p>
        </w:tc>
      </w:tr>
      <w:tr w14:paraId="280CA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4" w:type="dxa"/>
            <w:noWrap/>
            <w:vAlign w:val="center"/>
          </w:tcPr>
          <w:p w14:paraId="4E8F36BC">
            <w:pPr>
              <w:jc w:val="center"/>
              <w:rPr>
                <w:rFonts w:hint="default" w:ascii="Times New Roman" w:hAnsi="Times New Roman" w:eastAsia="仿宋_GB2312" w:cs="Times New Roman"/>
                <w:b/>
                <w:color w:val="auto"/>
                <w:kern w:val="0"/>
                <w:sz w:val="24"/>
                <w:highlight w:val="none"/>
              </w:rPr>
            </w:pPr>
            <w:r>
              <w:rPr>
                <w:rFonts w:hint="default" w:ascii="Times New Roman" w:hAnsi="Times New Roman" w:eastAsia="仿宋_GB2312" w:cs="Times New Roman"/>
                <w:b/>
                <w:color w:val="auto"/>
                <w:kern w:val="0"/>
                <w:sz w:val="24"/>
                <w:highlight w:val="none"/>
              </w:rPr>
              <w:t>2-8</w:t>
            </w:r>
          </w:p>
        </w:tc>
        <w:tc>
          <w:tcPr>
            <w:tcW w:w="1390" w:type="dxa"/>
            <w:noWrap/>
            <w:vAlign w:val="center"/>
          </w:tcPr>
          <w:p w14:paraId="01CA985D">
            <w:pPr>
              <w:rPr>
                <w:rFonts w:hint="default" w:ascii="Times New Roman" w:hAnsi="Times New Roman" w:eastAsia="仿宋_GB2312" w:cs="Times New Roman"/>
                <w:b/>
                <w:color w:val="auto"/>
                <w:kern w:val="0"/>
                <w:sz w:val="24"/>
                <w:highlight w:val="none"/>
              </w:rPr>
            </w:pPr>
            <w:r>
              <w:rPr>
                <w:rFonts w:hint="default" w:ascii="Times New Roman" w:hAnsi="Times New Roman" w:eastAsia="仿宋_GB2312" w:cs="Times New Roman"/>
                <w:b/>
                <w:color w:val="auto"/>
                <w:kern w:val="0"/>
                <w:sz w:val="24"/>
                <w:highlight w:val="none"/>
              </w:rPr>
              <w:t>标的资产——资金占用</w:t>
            </w:r>
          </w:p>
        </w:tc>
        <w:tc>
          <w:tcPr>
            <w:tcW w:w="4884" w:type="dxa"/>
            <w:noWrap/>
          </w:tcPr>
          <w:p w14:paraId="280FD464">
            <w:pPr>
              <w:ind w:firstLine="512" w:firstLineChars="200"/>
              <w:rPr>
                <w:rFonts w:hint="default" w:ascii="Times New Roman" w:hAnsi="Times New Roman" w:eastAsia="仿宋_GB2312" w:cs="Times New Roman"/>
                <w:color w:val="auto"/>
                <w:spacing w:val="8"/>
                <w:sz w:val="24"/>
                <w:highlight w:val="none"/>
              </w:rPr>
            </w:pPr>
            <w:r>
              <w:rPr>
                <w:rFonts w:hint="default" w:ascii="Times New Roman" w:hAnsi="Times New Roman" w:eastAsia="仿宋_GB2312" w:cs="Times New Roman"/>
                <w:color w:val="auto"/>
                <w:spacing w:val="8"/>
                <w:sz w:val="24"/>
                <w:highlight w:val="none"/>
              </w:rPr>
              <w:t>上市公司应当在重组报告书中披露：</w:t>
            </w:r>
          </w:p>
          <w:p w14:paraId="4A268F73">
            <w:pPr>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标的资产存在被其股东及其关联方、资产所有人及其关联方非经营性资金占用的解决情况。</w:t>
            </w:r>
          </w:p>
          <w:p w14:paraId="54611BE4">
            <w:pPr>
              <w:ind w:firstLine="480" w:firstLineChars="200"/>
              <w:rPr>
                <w:rFonts w:hint="default" w:ascii="Times New Roman" w:hAnsi="Times New Roman" w:eastAsia="仿宋_GB2312" w:cs="Times New Roman"/>
                <w:color w:val="auto"/>
                <w:kern w:val="0"/>
                <w:sz w:val="24"/>
                <w:highlight w:val="none"/>
              </w:rPr>
            </w:pPr>
          </w:p>
        </w:tc>
        <w:tc>
          <w:tcPr>
            <w:tcW w:w="5180" w:type="dxa"/>
            <w:noWrap/>
          </w:tcPr>
          <w:p w14:paraId="7094588A">
            <w:pPr>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独立财务顾问应对以下事项进行核查，并在《独立财务顾问报告》中发表明确核查意见：</w:t>
            </w:r>
          </w:p>
          <w:p w14:paraId="4EA9119F">
            <w:pPr>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（1）关联方非经营性资金占用的具体情况，包括形成背景和原因、时间、金额、用途、履行的决策程序、解决方式、清理进展；</w:t>
            </w:r>
          </w:p>
          <w:p w14:paraId="2F2359AD">
            <w:pPr>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（2）通过向股东分红方式解决资金占用的，标的公司是否符合分红条件，是否履行相关决策程序，分红款项是否缴纳个人所得税；</w:t>
            </w:r>
          </w:p>
          <w:p w14:paraId="4FFC453E">
            <w:pPr>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（3）是否已采取有效整改措施并清理完毕，是否对内控制度有效性构成重大不利影响，是否构成重大违法违规。</w:t>
            </w:r>
          </w:p>
          <w:p w14:paraId="01B46272">
            <w:pPr>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color w:val="auto"/>
                <w:sz w:val="24"/>
                <w:highlight w:val="none"/>
              </w:rPr>
              <w:t>律师、会计师应对上述事项进行核查，并发表明确核查意见。</w:t>
            </w:r>
          </w:p>
        </w:tc>
        <w:tc>
          <w:tcPr>
            <w:tcW w:w="1732" w:type="dxa"/>
            <w:noWrap/>
          </w:tcPr>
          <w:p w14:paraId="2600C8EB">
            <w:pPr>
              <w:rPr>
                <w:rFonts w:hint="default" w:ascii="Times New Roman" w:hAnsi="Times New Roman" w:eastAsia="仿宋" w:cs="Times New Roman"/>
                <w:color w:val="auto"/>
                <w:spacing w:val="-15"/>
                <w:sz w:val="24"/>
                <w:highlight w:val="none"/>
              </w:rPr>
            </w:pPr>
            <w:r>
              <w:rPr>
                <w:rFonts w:hint="default" w:ascii="Times New Roman" w:hAnsi="Times New Roman" w:eastAsia="仿宋_GB2312" w:cs="Times New Roman"/>
                <w:color w:val="auto"/>
                <w:sz w:val="24"/>
                <w:highlight w:val="none"/>
              </w:rPr>
              <w:t>《上市公司监管指引第9号——上市公司筹划和实施重大资产重组的监管要求》第六条</w:t>
            </w:r>
          </w:p>
        </w:tc>
      </w:tr>
      <w:tr w14:paraId="14E5E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4" w:type="dxa"/>
            <w:noWrap/>
            <w:vAlign w:val="center"/>
          </w:tcPr>
          <w:p w14:paraId="6C809CFD">
            <w:pPr>
              <w:jc w:val="center"/>
              <w:rPr>
                <w:rFonts w:hint="default" w:ascii="Times New Roman" w:hAnsi="Times New Roman" w:eastAsia="仿宋_GB2312" w:cs="Times New Roman"/>
                <w:b/>
                <w:color w:val="auto"/>
                <w:kern w:val="0"/>
                <w:sz w:val="24"/>
                <w:highlight w:val="none"/>
              </w:rPr>
            </w:pPr>
            <w:r>
              <w:rPr>
                <w:rFonts w:hint="default" w:ascii="Times New Roman" w:hAnsi="Times New Roman" w:eastAsia="仿宋_GB2312" w:cs="Times New Roman"/>
                <w:b/>
                <w:color w:val="auto"/>
                <w:kern w:val="0"/>
                <w:sz w:val="24"/>
                <w:highlight w:val="none"/>
              </w:rPr>
              <w:t>2-9</w:t>
            </w:r>
          </w:p>
        </w:tc>
        <w:tc>
          <w:tcPr>
            <w:tcW w:w="1390" w:type="dxa"/>
            <w:noWrap/>
            <w:vAlign w:val="center"/>
          </w:tcPr>
          <w:p w14:paraId="22B02415">
            <w:pPr>
              <w:rPr>
                <w:rFonts w:hint="default" w:ascii="Times New Roman" w:hAnsi="Times New Roman" w:eastAsia="仿宋_GB2312" w:cs="Times New Roman"/>
                <w:b/>
                <w:color w:val="auto"/>
                <w:kern w:val="0"/>
                <w:sz w:val="24"/>
                <w:highlight w:val="none"/>
              </w:rPr>
            </w:pPr>
            <w:r>
              <w:rPr>
                <w:rFonts w:hint="default" w:ascii="Times New Roman" w:hAnsi="Times New Roman" w:eastAsia="仿宋_GB2312" w:cs="Times New Roman"/>
                <w:b/>
                <w:color w:val="auto"/>
                <w:kern w:val="0"/>
                <w:sz w:val="24"/>
                <w:highlight w:val="none"/>
              </w:rPr>
              <w:t>标的资产——VIE协议控制架构</w:t>
            </w:r>
          </w:p>
        </w:tc>
        <w:tc>
          <w:tcPr>
            <w:tcW w:w="4884" w:type="dxa"/>
            <w:noWrap/>
          </w:tcPr>
          <w:p w14:paraId="26F9E582">
            <w:pPr>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标的资产在预案公告前曾拆除VIE协议控制架构的，上市公司应当在重组报告书中披露：</w:t>
            </w:r>
          </w:p>
          <w:p w14:paraId="09411923">
            <w:pPr>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（1）VIE协议控制架构搭建和拆除过程，VIE协议执行情况，以及拆除前后的控制关系结构图；</w:t>
            </w:r>
          </w:p>
          <w:p w14:paraId="42D478EE">
            <w:pPr>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（2）标的资产是否曾筹划境外资本市场上市</w:t>
            </w:r>
            <w:r>
              <w:rPr>
                <w:rFonts w:hint="default" w:ascii="Times New Roman" w:hAnsi="Times New Roman" w:eastAsia="仿宋_GB2312" w:cs="Times New Roman"/>
                <w:bCs/>
                <w:color w:val="auto"/>
                <w:kern w:val="0"/>
                <w:sz w:val="24"/>
                <w:highlight w:val="none"/>
                <w:lang w:eastAsia="zh-CN"/>
              </w:rPr>
              <w:t>；</w:t>
            </w:r>
            <w:r>
              <w:rPr>
                <w:rFonts w:hint="default" w:ascii="Times New Roman" w:hAnsi="Times New Roman" w:eastAsia="仿宋_GB2312" w:cs="Times New Roman"/>
                <w:bCs/>
                <w:color w:val="auto"/>
                <w:kern w:val="0"/>
                <w:sz w:val="24"/>
                <w:highlight w:val="none"/>
              </w:rPr>
              <w:t>如是，应当披露筹划上市进展、未上市原因等情况；</w:t>
            </w:r>
          </w:p>
          <w:p w14:paraId="5BE47B83">
            <w:pPr>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（3）VIE协议控制架构的搭建和拆除过程是否符合外资、外汇、税收等有关规定，是否存在行政处罚风险；</w:t>
            </w:r>
          </w:p>
          <w:p w14:paraId="41F37397">
            <w:pPr>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（4）VIE协议控制架构是否彻底拆除，拆除后标的资产股权权属是否清晰，是否存在诉讼等法律风险；</w:t>
            </w:r>
          </w:p>
          <w:p w14:paraId="51D142DE">
            <w:pPr>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（5）VIE协议控制架构拆除后，标的资产的生产经营是否符合国家产业政策相关法律法规等规定；</w:t>
            </w:r>
          </w:p>
          <w:p w14:paraId="0FFEC2EE">
            <w:pPr>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（6）如构成重组上市，还应当重点说明VIE协议控制架构拆除是否导致标的资产近3年（近2年）主营业务和董事、高级管理人员发生重大变化、实际控制人发生变更，是否符合《首发管理办法》第十二条的规定。</w:t>
            </w:r>
          </w:p>
        </w:tc>
        <w:tc>
          <w:tcPr>
            <w:tcW w:w="5180" w:type="dxa"/>
            <w:noWrap/>
          </w:tcPr>
          <w:p w14:paraId="53156BB1">
            <w:pPr>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独立财务顾问应对是否符合</w:t>
            </w:r>
            <w:r>
              <w:rPr>
                <w:rFonts w:hint="default" w:ascii="Times New Roman" w:hAnsi="Times New Roman" w:eastAsia="仿宋_GB2312" w:cs="Times New Roman"/>
                <w:color w:val="auto"/>
                <w:sz w:val="24"/>
                <w:highlight w:val="none"/>
              </w:rPr>
              <w:t>《监管规则适用指引——上市类第1号》1-9</w:t>
            </w:r>
            <w:r>
              <w:rPr>
                <w:rFonts w:hint="default" w:ascii="Times New Roman" w:hAnsi="Times New Roman" w:eastAsia="仿宋_GB2312" w:cs="Times New Roman"/>
                <w:bCs/>
                <w:color w:val="auto"/>
                <w:kern w:val="0"/>
                <w:sz w:val="24"/>
                <w:highlight w:val="none"/>
              </w:rPr>
              <w:t>规定进行核查，并在《独立财务顾问报告》中发表明确核查意见。</w:t>
            </w:r>
          </w:p>
          <w:p w14:paraId="07F7C1A3">
            <w:pPr>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律师应对上述事项进行核查，并发表明确核查意见。</w:t>
            </w:r>
          </w:p>
        </w:tc>
        <w:tc>
          <w:tcPr>
            <w:tcW w:w="1732" w:type="dxa"/>
            <w:noWrap/>
          </w:tcPr>
          <w:p w14:paraId="13642370">
            <w:pP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bCs/>
                <w:color w:val="auto"/>
                <w:kern w:val="0"/>
                <w:sz w:val="24"/>
                <w:highlight w:val="none"/>
              </w:rPr>
              <w:t>《首发管理办法》第十二条，</w:t>
            </w:r>
            <w:r>
              <w:rPr>
                <w:rFonts w:hint="default" w:ascii="Times New Roman" w:hAnsi="Times New Roman" w:eastAsia="仿宋_GB2312" w:cs="Times New Roman"/>
                <w:color w:val="auto"/>
                <w:sz w:val="24"/>
                <w:highlight w:val="none"/>
              </w:rPr>
              <w:t>《监管规则适用指引——上市类第1号》1-9</w:t>
            </w:r>
          </w:p>
        </w:tc>
      </w:tr>
      <w:tr w14:paraId="22B9D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864" w:type="dxa"/>
            <w:noWrap/>
            <w:vAlign w:val="center"/>
          </w:tcPr>
          <w:p w14:paraId="03168FB7">
            <w:pPr>
              <w:jc w:val="center"/>
              <w:rPr>
                <w:rFonts w:hint="default" w:ascii="Times New Roman" w:hAnsi="Times New Roman" w:eastAsia="仿宋_GB2312" w:cs="Times New Roman"/>
                <w:b/>
                <w:color w:val="auto"/>
                <w:kern w:val="0"/>
                <w:sz w:val="24"/>
                <w:highlight w:val="none"/>
              </w:rPr>
            </w:pPr>
            <w:r>
              <w:rPr>
                <w:rFonts w:hint="default" w:ascii="Times New Roman" w:hAnsi="Times New Roman" w:eastAsia="仿宋_GB2312" w:cs="Times New Roman"/>
                <w:b/>
                <w:color w:val="auto"/>
                <w:kern w:val="0"/>
                <w:sz w:val="24"/>
                <w:highlight w:val="none"/>
              </w:rPr>
              <w:t>2-10</w:t>
            </w:r>
          </w:p>
        </w:tc>
        <w:tc>
          <w:tcPr>
            <w:tcW w:w="1390" w:type="dxa"/>
            <w:noWrap/>
            <w:vAlign w:val="center"/>
          </w:tcPr>
          <w:p w14:paraId="44152D09">
            <w:pPr>
              <w:rPr>
                <w:rFonts w:hint="default" w:ascii="Times New Roman" w:hAnsi="Times New Roman" w:eastAsia="仿宋_GB2312" w:cs="Times New Roman"/>
                <w:b/>
                <w:color w:val="auto"/>
                <w:kern w:val="0"/>
                <w:sz w:val="24"/>
                <w:highlight w:val="none"/>
              </w:rPr>
            </w:pPr>
            <w:r>
              <w:rPr>
                <w:rFonts w:hint="default" w:ascii="Times New Roman" w:hAnsi="Times New Roman" w:eastAsia="仿宋_GB2312" w:cs="Times New Roman"/>
                <w:b/>
                <w:color w:val="auto"/>
                <w:kern w:val="0"/>
                <w:sz w:val="24"/>
                <w:highlight w:val="none"/>
              </w:rPr>
              <w:t>标的资产——曾在新三板挂牌、前次IPO和重组被否或终止</w:t>
            </w:r>
          </w:p>
        </w:tc>
        <w:tc>
          <w:tcPr>
            <w:tcW w:w="4884" w:type="dxa"/>
            <w:noWrap/>
          </w:tcPr>
          <w:p w14:paraId="48270D6E">
            <w:pPr>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上市公司应当在重组报告书中披露：</w:t>
            </w:r>
          </w:p>
          <w:p w14:paraId="1DC6EA96">
            <w:pPr>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（1）拟购买资产申请首次公开发行股票并上市的情况及被否或终止原因，相关整改情况、相关财务数据及经营情况与申报IPO时相比是否发生重大变动及原因等情况；</w:t>
            </w:r>
          </w:p>
          <w:p w14:paraId="33A6AEDB">
            <w:pPr>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（2）最近三年作为上市公司重大资产重组交易标的的情况及终止原因。</w:t>
            </w:r>
          </w:p>
        </w:tc>
        <w:tc>
          <w:tcPr>
            <w:tcW w:w="5180" w:type="dxa"/>
            <w:noWrap/>
          </w:tcPr>
          <w:p w14:paraId="6E47A763">
            <w:pPr>
              <w:widowControl/>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独立财务顾问应对以下事项进行核查，并在《独立财务顾问报告》中发表明确核查意见：</w:t>
            </w:r>
          </w:p>
          <w:p w14:paraId="6DFE00F3">
            <w:pPr>
              <w:numPr>
                <w:ilvl w:val="0"/>
                <w:numId w:val="0"/>
              </w:numPr>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lang w:eastAsia="zh-CN"/>
              </w:rPr>
              <w:t>（</w:t>
            </w:r>
            <w:r>
              <w:rPr>
                <w:rFonts w:hint="default" w:ascii="Times New Roman" w:hAnsi="Times New Roman" w:eastAsia="仿宋_GB2312" w:cs="Times New Roman"/>
                <w:bCs/>
                <w:color w:val="auto"/>
                <w:kern w:val="0"/>
                <w:sz w:val="24"/>
                <w:highlight w:val="none"/>
                <w:lang w:val="en-US" w:eastAsia="zh-CN"/>
              </w:rPr>
              <w:t>1</w:t>
            </w:r>
            <w:r>
              <w:rPr>
                <w:rFonts w:hint="default" w:ascii="Times New Roman" w:hAnsi="Times New Roman" w:eastAsia="仿宋_GB2312" w:cs="Times New Roman"/>
                <w:bCs/>
                <w:color w:val="auto"/>
                <w:kern w:val="0"/>
                <w:sz w:val="24"/>
                <w:highlight w:val="none"/>
                <w:lang w:eastAsia="zh-CN"/>
              </w:rPr>
              <w:t>）</w:t>
            </w:r>
            <w:r>
              <w:rPr>
                <w:rFonts w:hint="default" w:ascii="Times New Roman" w:hAnsi="Times New Roman" w:eastAsia="仿宋_GB2312" w:cs="Times New Roman"/>
                <w:bCs/>
                <w:color w:val="auto"/>
                <w:kern w:val="0"/>
                <w:sz w:val="24"/>
                <w:highlight w:val="none"/>
              </w:rPr>
              <w:t>构成重组上市的，筹划重组上市距前次IPO被否或终止之日是否超过6个月；</w:t>
            </w:r>
          </w:p>
          <w:p w14:paraId="28B39D42">
            <w:pPr>
              <w:numPr>
                <w:ilvl w:val="0"/>
                <w:numId w:val="0"/>
              </w:numPr>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lang w:eastAsia="zh-CN"/>
              </w:rPr>
              <w:t>（</w:t>
            </w:r>
            <w:r>
              <w:rPr>
                <w:rFonts w:hint="default" w:ascii="Times New Roman" w:hAnsi="Times New Roman" w:eastAsia="仿宋_GB2312" w:cs="Times New Roman"/>
                <w:bCs/>
                <w:color w:val="auto"/>
                <w:kern w:val="0"/>
                <w:sz w:val="24"/>
                <w:highlight w:val="none"/>
                <w:lang w:val="en-US" w:eastAsia="zh-CN"/>
              </w:rPr>
              <w:t>2</w:t>
            </w:r>
            <w:r>
              <w:rPr>
                <w:rFonts w:hint="default" w:ascii="Times New Roman" w:hAnsi="Times New Roman" w:eastAsia="仿宋_GB2312" w:cs="Times New Roman"/>
                <w:bCs/>
                <w:color w:val="auto"/>
                <w:kern w:val="0"/>
                <w:sz w:val="24"/>
                <w:highlight w:val="none"/>
                <w:lang w:eastAsia="zh-CN"/>
              </w:rPr>
              <w:t>）</w:t>
            </w:r>
            <w:r>
              <w:rPr>
                <w:rFonts w:hint="default" w:ascii="Times New Roman" w:hAnsi="Times New Roman" w:eastAsia="仿宋_GB2312" w:cs="Times New Roman"/>
                <w:bCs/>
                <w:color w:val="auto"/>
                <w:kern w:val="0"/>
                <w:sz w:val="24"/>
                <w:highlight w:val="none"/>
              </w:rPr>
              <w:t>申报IPO、重组被否或终止的具体原因及整改情况、相关财务数据及经营情况与申报IPO、重组时相比是否发生重大变动及原因等情况，是否存在影响本次重组条件的情形</w:t>
            </w:r>
            <w:r>
              <w:rPr>
                <w:rFonts w:hint="default" w:ascii="Times New Roman" w:hAnsi="Times New Roman" w:eastAsia="仿宋_GB2312" w:cs="Times New Roman"/>
                <w:bCs/>
                <w:color w:val="auto"/>
                <w:kern w:val="0"/>
                <w:sz w:val="24"/>
                <w:highlight w:val="none"/>
                <w:lang w:eastAsia="zh-CN"/>
              </w:rPr>
              <w:t>；</w:t>
            </w:r>
          </w:p>
          <w:p w14:paraId="64FFEA19">
            <w:pPr>
              <w:numPr>
                <w:ilvl w:val="0"/>
                <w:numId w:val="0"/>
              </w:numPr>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lang w:eastAsia="zh-CN"/>
              </w:rPr>
              <w:t>（</w:t>
            </w:r>
            <w:r>
              <w:rPr>
                <w:rFonts w:hint="default" w:ascii="Times New Roman" w:hAnsi="Times New Roman" w:eastAsia="仿宋_GB2312" w:cs="Times New Roman"/>
                <w:bCs/>
                <w:color w:val="auto"/>
                <w:kern w:val="0"/>
                <w:sz w:val="24"/>
                <w:highlight w:val="none"/>
                <w:lang w:val="en-US" w:eastAsia="zh-CN"/>
              </w:rPr>
              <w:t>3</w:t>
            </w:r>
            <w:r>
              <w:rPr>
                <w:rFonts w:hint="default" w:ascii="Times New Roman" w:hAnsi="Times New Roman" w:eastAsia="仿宋_GB2312" w:cs="Times New Roman"/>
                <w:bCs/>
                <w:color w:val="auto"/>
                <w:kern w:val="0"/>
                <w:sz w:val="24"/>
                <w:highlight w:val="none"/>
                <w:lang w:eastAsia="zh-CN"/>
              </w:rPr>
              <w:t>）</w:t>
            </w:r>
            <w:r>
              <w:rPr>
                <w:rFonts w:hint="default" w:ascii="Times New Roman" w:hAnsi="Times New Roman" w:eastAsia="仿宋_GB2312" w:cs="Times New Roman"/>
                <w:bCs/>
                <w:color w:val="auto"/>
                <w:kern w:val="0"/>
                <w:sz w:val="24"/>
                <w:highlight w:val="none"/>
              </w:rPr>
              <w:t>拟购买资产是否曾接受IPO辅导，辅导后是否申报，如否，请核查未申报原因及其是否存在影响本次重组条件的情形；</w:t>
            </w:r>
          </w:p>
          <w:p w14:paraId="6660F592">
            <w:pPr>
              <w:numPr>
                <w:ilvl w:val="0"/>
                <w:numId w:val="0"/>
              </w:numPr>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lang w:eastAsia="zh-CN"/>
              </w:rPr>
              <w:t>（</w:t>
            </w:r>
            <w:r>
              <w:rPr>
                <w:rFonts w:hint="default" w:ascii="Times New Roman" w:hAnsi="Times New Roman" w:eastAsia="仿宋_GB2312" w:cs="Times New Roman"/>
                <w:bCs/>
                <w:color w:val="auto"/>
                <w:kern w:val="0"/>
                <w:sz w:val="24"/>
                <w:highlight w:val="none"/>
                <w:lang w:val="en-US" w:eastAsia="zh-CN"/>
              </w:rPr>
              <w:t>4</w:t>
            </w:r>
            <w:r>
              <w:rPr>
                <w:rFonts w:hint="default" w:ascii="Times New Roman" w:hAnsi="Times New Roman" w:eastAsia="仿宋_GB2312" w:cs="Times New Roman"/>
                <w:bCs/>
                <w:color w:val="auto"/>
                <w:kern w:val="0"/>
                <w:sz w:val="24"/>
                <w:highlight w:val="none"/>
                <w:lang w:eastAsia="zh-CN"/>
              </w:rPr>
              <w:t>）</w:t>
            </w:r>
            <w:r>
              <w:rPr>
                <w:rFonts w:hint="default" w:ascii="Times New Roman" w:hAnsi="Times New Roman" w:eastAsia="仿宋_GB2312" w:cs="Times New Roman"/>
                <w:bCs/>
                <w:color w:val="auto"/>
                <w:kern w:val="0"/>
                <w:sz w:val="24"/>
                <w:highlight w:val="none"/>
              </w:rPr>
              <w:t>拟购买资产在新三板挂牌期间及摘牌程序的合法合规性，是否存在规范运作、信息披露及其他方面的违法违规情形，是否受到处罚及具体情况，本次重组方案中披露的主要财务数据和经营情况等信息与挂牌期间披露信息是否存在差异及差异的具体情况和原因。</w:t>
            </w:r>
          </w:p>
          <w:p w14:paraId="774E3743">
            <w:pPr>
              <w:numPr>
                <w:ilvl w:val="0"/>
                <w:numId w:val="0"/>
              </w:numPr>
              <w:ind w:firstLine="480" w:firstLineChars="200"/>
              <w:rPr>
                <w:rFonts w:hint="default" w:ascii="Times New Roman" w:hAnsi="Times New Roman" w:eastAsia="仿宋_GB2312" w:cs="Times New Roman"/>
                <w:bCs/>
                <w:color w:val="auto"/>
                <w:kern w:val="0"/>
                <w:sz w:val="24"/>
                <w:highlight w:val="none"/>
                <w:lang w:eastAsia="zh-CN"/>
              </w:rPr>
            </w:pPr>
            <w:r>
              <w:rPr>
                <w:rFonts w:hint="default" w:ascii="Times New Roman" w:hAnsi="Times New Roman" w:eastAsia="仿宋_GB2312" w:cs="Times New Roman"/>
                <w:bCs/>
                <w:color w:val="auto"/>
                <w:kern w:val="0"/>
                <w:sz w:val="24"/>
                <w:highlight w:val="none"/>
              </w:rPr>
              <w:t>律师、会计师应对</w:t>
            </w:r>
            <w:r>
              <w:rPr>
                <w:rFonts w:hint="default" w:ascii="Times New Roman" w:hAnsi="Times New Roman" w:eastAsia="仿宋_GB2312" w:cs="Times New Roman"/>
                <w:bCs/>
                <w:color w:val="auto"/>
                <w:kern w:val="0"/>
                <w:sz w:val="24"/>
                <w:highlight w:val="none"/>
                <w:lang w:eastAsia="zh-CN"/>
              </w:rPr>
              <w:t>（</w:t>
            </w:r>
            <w:r>
              <w:rPr>
                <w:rFonts w:hint="default" w:ascii="Times New Roman" w:hAnsi="Times New Roman" w:eastAsia="仿宋_GB2312" w:cs="Times New Roman"/>
                <w:bCs/>
                <w:color w:val="auto"/>
                <w:kern w:val="0"/>
                <w:sz w:val="24"/>
                <w:highlight w:val="none"/>
                <w:lang w:val="en-US" w:eastAsia="zh-CN"/>
              </w:rPr>
              <w:t>2</w:t>
            </w:r>
            <w:r>
              <w:rPr>
                <w:rFonts w:hint="default" w:ascii="Times New Roman" w:hAnsi="Times New Roman" w:eastAsia="仿宋_GB2312" w:cs="Times New Roman"/>
                <w:bCs/>
                <w:color w:val="auto"/>
                <w:kern w:val="0"/>
                <w:sz w:val="24"/>
                <w:highlight w:val="none"/>
                <w:lang w:eastAsia="zh-CN"/>
              </w:rPr>
              <w:t>）（</w:t>
            </w:r>
            <w:r>
              <w:rPr>
                <w:rFonts w:hint="default" w:ascii="Times New Roman" w:hAnsi="Times New Roman" w:eastAsia="仿宋_GB2312" w:cs="Times New Roman"/>
                <w:bCs/>
                <w:color w:val="auto"/>
                <w:kern w:val="0"/>
                <w:sz w:val="24"/>
                <w:highlight w:val="none"/>
                <w:lang w:val="en-US" w:eastAsia="zh-CN"/>
              </w:rPr>
              <w:t>4</w:t>
            </w:r>
            <w:r>
              <w:rPr>
                <w:rFonts w:hint="default" w:ascii="Times New Roman" w:hAnsi="Times New Roman" w:eastAsia="仿宋_GB2312" w:cs="Times New Roman"/>
                <w:bCs/>
                <w:color w:val="auto"/>
                <w:kern w:val="0"/>
                <w:sz w:val="24"/>
                <w:highlight w:val="none"/>
                <w:lang w:eastAsia="zh-CN"/>
              </w:rPr>
              <w:t>）</w:t>
            </w:r>
            <w:r>
              <w:rPr>
                <w:rFonts w:hint="default" w:ascii="Times New Roman" w:hAnsi="Times New Roman" w:eastAsia="仿宋_GB2312" w:cs="Times New Roman"/>
                <w:bCs/>
                <w:color w:val="auto"/>
                <w:kern w:val="0"/>
                <w:sz w:val="24"/>
                <w:highlight w:val="none"/>
              </w:rPr>
              <w:t>进行核查，并发表明确核查意见。</w:t>
            </w:r>
          </w:p>
        </w:tc>
        <w:tc>
          <w:tcPr>
            <w:tcW w:w="1732" w:type="dxa"/>
            <w:noWrap/>
          </w:tcPr>
          <w:p w14:paraId="296CF771">
            <w:pP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《26号格式准则》第十六条、《监管规则适用指引——上市类第1号》1-5</w:t>
            </w:r>
          </w:p>
        </w:tc>
      </w:tr>
      <w:tr w14:paraId="03C29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4" w:type="dxa"/>
            <w:noWrap/>
            <w:vAlign w:val="center"/>
          </w:tcPr>
          <w:p w14:paraId="790A38B0">
            <w:pPr>
              <w:jc w:val="center"/>
              <w:rPr>
                <w:rFonts w:hint="default" w:ascii="Times New Roman" w:hAnsi="Times New Roman" w:eastAsia="仿宋_GB2312" w:cs="Times New Roman"/>
                <w:b/>
                <w:bCs/>
                <w:color w:val="auto"/>
                <w:kern w:val="0"/>
                <w:sz w:val="24"/>
                <w:highlight w:val="none"/>
              </w:rPr>
            </w:pPr>
            <w:r>
              <w:rPr>
                <w:rFonts w:hint="default" w:ascii="Times New Roman" w:hAnsi="Times New Roman" w:eastAsia="仿宋_GB2312" w:cs="Times New Roman"/>
                <w:b/>
                <w:bCs/>
                <w:color w:val="auto"/>
                <w:kern w:val="0"/>
                <w:sz w:val="24"/>
                <w:highlight w:val="none"/>
              </w:rPr>
              <w:t>2-11</w:t>
            </w:r>
          </w:p>
        </w:tc>
        <w:tc>
          <w:tcPr>
            <w:tcW w:w="1390" w:type="dxa"/>
            <w:noWrap/>
            <w:vAlign w:val="center"/>
          </w:tcPr>
          <w:p w14:paraId="37D9080A">
            <w:pPr>
              <w:rPr>
                <w:rFonts w:hint="default" w:ascii="Times New Roman" w:hAnsi="Times New Roman" w:eastAsia="仿宋_GB2312" w:cs="Times New Roman"/>
                <w:b/>
                <w:bCs/>
                <w:color w:val="auto"/>
                <w:kern w:val="0"/>
                <w:sz w:val="24"/>
                <w:highlight w:val="none"/>
              </w:rPr>
            </w:pPr>
            <w:r>
              <w:rPr>
                <w:rFonts w:hint="default" w:ascii="Times New Roman" w:hAnsi="Times New Roman" w:eastAsia="仿宋_GB2312" w:cs="Times New Roman"/>
                <w:b/>
                <w:bCs/>
                <w:color w:val="auto"/>
                <w:kern w:val="0"/>
                <w:sz w:val="24"/>
                <w:highlight w:val="none"/>
              </w:rPr>
              <w:t>交易对方——标的资产股东人数</w:t>
            </w:r>
          </w:p>
        </w:tc>
        <w:tc>
          <w:tcPr>
            <w:tcW w:w="4884" w:type="dxa"/>
            <w:noWrap/>
          </w:tcPr>
          <w:p w14:paraId="7719A386">
            <w:pPr>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上市公司应当在重组报告书中披露：</w:t>
            </w:r>
          </w:p>
          <w:p w14:paraId="3DC49B5F">
            <w:pPr>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（1）上市公司发行股份购买资产的发行对象数量超过200人，披露标的资产</w:t>
            </w:r>
            <w:r>
              <w:rPr>
                <w:rFonts w:hint="default" w:ascii="Times New Roman" w:hAnsi="Times New Roman" w:eastAsia="仿宋_GB2312" w:cs="Times New Roman"/>
                <w:bCs/>
                <w:color w:val="auto"/>
                <w:kern w:val="0"/>
                <w:sz w:val="24"/>
                <w:highlight w:val="none"/>
                <w:lang w:eastAsia="zh-CN"/>
              </w:rPr>
              <w:t>是否</w:t>
            </w:r>
            <w:r>
              <w:rPr>
                <w:rFonts w:hint="default" w:ascii="Times New Roman" w:hAnsi="Times New Roman" w:eastAsia="仿宋_GB2312" w:cs="Times New Roman"/>
                <w:bCs/>
                <w:color w:val="auto"/>
                <w:kern w:val="0"/>
                <w:sz w:val="24"/>
                <w:highlight w:val="none"/>
              </w:rPr>
              <w:t>符合相关规定中关于公司依法设立、合法存续、股权清晰、经营规范、持股处理等的相关要求；</w:t>
            </w:r>
          </w:p>
          <w:p w14:paraId="3607A0E0">
            <w:pPr>
              <w:ind w:firstLine="480" w:firstLineChars="200"/>
              <w:rPr>
                <w:rFonts w:hint="default" w:ascii="Times New Roman" w:hAnsi="Times New Roman" w:eastAsia="仿宋_GB2312" w:cs="Times New Roman"/>
                <w:bCs/>
                <w:color w:val="auto"/>
                <w:kern w:val="0"/>
                <w:sz w:val="24"/>
                <w:highlight w:val="none"/>
                <w:lang w:eastAsia="zh-CN"/>
              </w:rPr>
            </w:pPr>
            <w:r>
              <w:rPr>
                <w:rFonts w:hint="default" w:ascii="Times New Roman" w:hAnsi="Times New Roman" w:eastAsia="仿宋_GB2312" w:cs="Times New Roman"/>
                <w:bCs/>
                <w:color w:val="auto"/>
                <w:kern w:val="0"/>
                <w:sz w:val="24"/>
                <w:highlight w:val="none"/>
              </w:rPr>
              <w:t>（2）发行对象为股东人数超200人非上市股份有限公司（简称“200人公司”），披露“200人公司”的合规性；“200人公司”为标的资产控股股东、实际控制人，或者在交易完成后成为上市公司控股股东、实际控制人的，披露其是否按照相关规定申请纳入监管范围。</w:t>
            </w:r>
          </w:p>
        </w:tc>
        <w:tc>
          <w:tcPr>
            <w:tcW w:w="5180" w:type="dxa"/>
            <w:noWrap/>
          </w:tcPr>
          <w:p w14:paraId="010F3401">
            <w:pPr>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独立财务顾问应对以下事项进行核查，并在《独立财务顾问报告》中发表明确核查意见：</w:t>
            </w:r>
          </w:p>
          <w:p w14:paraId="1FC34EEB">
            <w:pPr>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1）发行对象数量超过200人的，核查标的资产是否符合《非上市公众公司监督管理办法》及《非上市公众公司监管指引第4号——股东人数超过200人的未上市股份有限公司申请行政许可有关问题的审核指引》（以下简称《非公指引4号》）的规定；</w:t>
            </w:r>
          </w:p>
          <w:p w14:paraId="07666230">
            <w:pPr>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2）发行对象为“200人公司”的，参照《非公指引4号》的要求，核查“200人公司”的合规性；“200人公司”为标的资产控股股东、实际控制人，或者在交易完成后成为上市公司控股股东、实际控制人的，其是否按照《非上市公众公司监督管理办法》相关规定，申请纳入监管范围。</w:t>
            </w:r>
          </w:p>
          <w:p w14:paraId="6FBCF4ED">
            <w:pPr>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律师应对上述事项进行核查，并发表明确核查意见。</w:t>
            </w:r>
          </w:p>
        </w:tc>
        <w:tc>
          <w:tcPr>
            <w:tcW w:w="1732" w:type="dxa"/>
            <w:noWrap/>
          </w:tcPr>
          <w:p w14:paraId="76693ABC">
            <w:pPr>
              <w:rPr>
                <w:rFonts w:hint="default" w:ascii="Times New Roman" w:hAnsi="Times New Roman" w:eastAsia="仿宋_GB2312" w:cs="Times New Roman"/>
                <w:color w:val="auto"/>
                <w:spacing w:val="-15"/>
                <w:sz w:val="24"/>
                <w:highlight w:val="none"/>
              </w:rPr>
            </w:pPr>
            <w:r>
              <w:rPr>
                <w:rFonts w:hint="default" w:ascii="Times New Roman" w:hAnsi="Times New Roman" w:eastAsia="仿宋_GB2312" w:cs="Times New Roman"/>
                <w:color w:val="auto"/>
                <w:sz w:val="24"/>
                <w:highlight w:val="none"/>
              </w:rPr>
              <w:t>《监管规则适用指引——上市类第1号》1-4、《非公指引4号》</w:t>
            </w:r>
          </w:p>
        </w:tc>
      </w:tr>
      <w:tr w14:paraId="508CB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4" w:type="dxa"/>
            <w:noWrap/>
            <w:vAlign w:val="center"/>
          </w:tcPr>
          <w:p w14:paraId="6FD28600">
            <w:pPr>
              <w:jc w:val="center"/>
              <w:rPr>
                <w:rFonts w:hint="default" w:ascii="Times New Roman" w:hAnsi="Times New Roman" w:eastAsia="仿宋_GB2312" w:cs="Times New Roman"/>
                <w:b/>
                <w:bCs/>
                <w:color w:val="auto"/>
                <w:kern w:val="0"/>
                <w:sz w:val="24"/>
                <w:highlight w:val="none"/>
              </w:rPr>
            </w:pPr>
            <w:r>
              <w:rPr>
                <w:rFonts w:hint="default" w:ascii="Times New Roman" w:hAnsi="Times New Roman" w:eastAsia="仿宋_GB2312" w:cs="Times New Roman"/>
                <w:b/>
                <w:bCs/>
                <w:color w:val="auto"/>
                <w:kern w:val="0"/>
                <w:sz w:val="24"/>
                <w:highlight w:val="none"/>
              </w:rPr>
              <w:t>2-12</w:t>
            </w:r>
          </w:p>
        </w:tc>
        <w:tc>
          <w:tcPr>
            <w:tcW w:w="1390" w:type="dxa"/>
            <w:noWrap/>
            <w:vAlign w:val="center"/>
          </w:tcPr>
          <w:p w14:paraId="59E5292A">
            <w:pPr>
              <w:rPr>
                <w:rFonts w:hint="default" w:ascii="Times New Roman" w:hAnsi="Times New Roman" w:eastAsia="仿宋_GB2312" w:cs="Times New Roman"/>
                <w:b/>
                <w:bCs/>
                <w:color w:val="auto"/>
                <w:kern w:val="0"/>
                <w:sz w:val="24"/>
                <w:highlight w:val="none"/>
              </w:rPr>
            </w:pPr>
            <w:r>
              <w:rPr>
                <w:rFonts w:hint="default" w:ascii="Times New Roman" w:hAnsi="Times New Roman" w:eastAsia="仿宋_GB2312" w:cs="Times New Roman"/>
                <w:b/>
                <w:bCs/>
                <w:color w:val="auto"/>
                <w:kern w:val="0"/>
                <w:sz w:val="24"/>
                <w:highlight w:val="none"/>
              </w:rPr>
              <w:t>交易对方——涉及合伙企业、契约型私募基金、券商资管计划、信托计划、基金专户及基金子公司产品、理财产品、保险资管计划、专门为本次交易设立的公司等</w:t>
            </w:r>
          </w:p>
        </w:tc>
        <w:tc>
          <w:tcPr>
            <w:tcW w:w="4884" w:type="dxa"/>
            <w:noWrap/>
          </w:tcPr>
          <w:p w14:paraId="10522EB1">
            <w:pPr>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上市公司应当在重组报告书中披露：</w:t>
            </w:r>
          </w:p>
          <w:p w14:paraId="32F7FBA6">
            <w:pPr>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（1）相关交易对方的名称、性质及相关协议安排，该主体的基本情况及其相关产权及控制关系，以及该主体下属企业名目等情况；</w:t>
            </w:r>
          </w:p>
          <w:p w14:paraId="67E7209F">
            <w:pPr>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（2）交易对方为合伙企业的，应当穿透披露至最终出资人，同时还应披露合伙人、最终出资人与参与本次交易的其他有关主体的关联关系</w:t>
            </w:r>
            <w:r>
              <w:rPr>
                <w:rFonts w:hint="default" w:ascii="Times New Roman" w:hAnsi="Times New Roman" w:eastAsia="仿宋_GB2312" w:cs="Times New Roman"/>
                <w:bCs/>
                <w:color w:val="auto"/>
                <w:kern w:val="0"/>
                <w:sz w:val="24"/>
                <w:highlight w:val="none"/>
                <w:lang w:eastAsia="zh-CN"/>
              </w:rPr>
              <w:t>（</w:t>
            </w:r>
            <w:r>
              <w:rPr>
                <w:rFonts w:hint="default" w:ascii="Times New Roman" w:hAnsi="Times New Roman" w:eastAsia="仿宋_GB2312" w:cs="Times New Roman"/>
                <w:bCs/>
                <w:color w:val="auto"/>
                <w:kern w:val="0"/>
                <w:sz w:val="24"/>
                <w:highlight w:val="none"/>
              </w:rPr>
              <w:t>如有</w:t>
            </w:r>
            <w:r>
              <w:rPr>
                <w:rFonts w:hint="default" w:ascii="Times New Roman" w:hAnsi="Times New Roman" w:eastAsia="仿宋_GB2312" w:cs="Times New Roman"/>
                <w:bCs/>
                <w:color w:val="auto"/>
                <w:kern w:val="0"/>
                <w:sz w:val="24"/>
                <w:highlight w:val="none"/>
                <w:lang w:eastAsia="zh-CN"/>
              </w:rPr>
              <w:t>）</w:t>
            </w:r>
            <w:r>
              <w:rPr>
                <w:rFonts w:hint="default" w:ascii="Times New Roman" w:hAnsi="Times New Roman" w:eastAsia="仿宋_GB2312" w:cs="Times New Roman"/>
                <w:bCs/>
                <w:color w:val="auto"/>
                <w:kern w:val="0"/>
                <w:sz w:val="24"/>
                <w:highlight w:val="none"/>
              </w:rPr>
              <w:t>；交易完成后合伙企业成为上市公司第一大股东或持股百分之五以上股东的，还应当披露最终出资人的资金来源，合伙企业利润分配、亏损负担及合伙事务执行</w:t>
            </w:r>
            <w:r>
              <w:rPr>
                <w:rFonts w:hint="default" w:ascii="Times New Roman" w:hAnsi="Times New Roman" w:eastAsia="仿宋_GB2312" w:cs="Times New Roman"/>
                <w:bCs/>
                <w:color w:val="auto"/>
                <w:kern w:val="0"/>
                <w:sz w:val="24"/>
                <w:highlight w:val="none"/>
                <w:lang w:eastAsia="zh-CN"/>
              </w:rPr>
              <w:t>（</w:t>
            </w:r>
            <w:r>
              <w:rPr>
                <w:rFonts w:hint="default" w:ascii="Times New Roman" w:hAnsi="Times New Roman" w:eastAsia="仿宋_GB2312" w:cs="Times New Roman"/>
                <w:bCs/>
                <w:color w:val="auto"/>
                <w:kern w:val="0"/>
                <w:sz w:val="24"/>
                <w:highlight w:val="none"/>
              </w:rPr>
              <w:t>含表决权行使</w:t>
            </w:r>
            <w:r>
              <w:rPr>
                <w:rFonts w:hint="default" w:ascii="Times New Roman" w:hAnsi="Times New Roman" w:eastAsia="仿宋_GB2312" w:cs="Times New Roman"/>
                <w:bCs/>
                <w:color w:val="auto"/>
                <w:kern w:val="0"/>
                <w:sz w:val="24"/>
                <w:highlight w:val="none"/>
                <w:lang w:eastAsia="zh-CN"/>
              </w:rPr>
              <w:t>）</w:t>
            </w:r>
            <w:r>
              <w:rPr>
                <w:rFonts w:hint="default" w:ascii="Times New Roman" w:hAnsi="Times New Roman" w:eastAsia="仿宋_GB2312" w:cs="Times New Roman"/>
                <w:bCs/>
                <w:color w:val="auto"/>
                <w:kern w:val="0"/>
                <w:sz w:val="24"/>
                <w:highlight w:val="none"/>
              </w:rPr>
              <w:t>的有关协议安排，上市公司董事会就本次交易申请停牌前或首次作出决议前</w:t>
            </w:r>
            <w:r>
              <w:rPr>
                <w:rFonts w:hint="default" w:ascii="Times New Roman" w:hAnsi="Times New Roman" w:eastAsia="仿宋_GB2312" w:cs="Times New Roman"/>
                <w:bCs/>
                <w:color w:val="auto"/>
                <w:kern w:val="0"/>
                <w:sz w:val="24"/>
                <w:highlight w:val="none"/>
                <w:lang w:eastAsia="zh-CN"/>
              </w:rPr>
              <w:t>（</w:t>
            </w:r>
            <w:r>
              <w:rPr>
                <w:rFonts w:hint="default" w:ascii="Times New Roman" w:hAnsi="Times New Roman" w:eastAsia="仿宋_GB2312" w:cs="Times New Roman"/>
                <w:bCs/>
                <w:color w:val="auto"/>
                <w:kern w:val="0"/>
                <w:sz w:val="24"/>
                <w:highlight w:val="none"/>
              </w:rPr>
              <w:t>孰早</w:t>
            </w:r>
            <w:r>
              <w:rPr>
                <w:rFonts w:hint="default" w:ascii="Times New Roman" w:hAnsi="Times New Roman" w:eastAsia="仿宋_GB2312" w:cs="Times New Roman"/>
                <w:bCs/>
                <w:color w:val="auto"/>
                <w:kern w:val="0"/>
                <w:sz w:val="24"/>
                <w:highlight w:val="none"/>
                <w:lang w:eastAsia="zh-CN"/>
              </w:rPr>
              <w:t>）</w:t>
            </w:r>
            <w:r>
              <w:rPr>
                <w:rFonts w:hint="default" w:ascii="Times New Roman" w:hAnsi="Times New Roman" w:eastAsia="仿宋_GB2312" w:cs="Times New Roman"/>
                <w:bCs/>
                <w:color w:val="auto"/>
                <w:kern w:val="0"/>
                <w:sz w:val="24"/>
                <w:highlight w:val="none"/>
              </w:rPr>
              <w:t>六个月内及停牌期间</w:t>
            </w:r>
            <w:r>
              <w:rPr>
                <w:rFonts w:hint="default" w:ascii="Times New Roman" w:hAnsi="Times New Roman" w:eastAsia="仿宋_GB2312" w:cs="Times New Roman"/>
                <w:bCs/>
                <w:color w:val="auto"/>
                <w:kern w:val="0"/>
                <w:sz w:val="24"/>
                <w:highlight w:val="none"/>
                <w:lang w:eastAsia="zh-CN"/>
              </w:rPr>
              <w:t>（</w:t>
            </w:r>
            <w:r>
              <w:rPr>
                <w:rFonts w:hint="default" w:ascii="Times New Roman" w:hAnsi="Times New Roman" w:eastAsia="仿宋_GB2312" w:cs="Times New Roman"/>
                <w:bCs/>
                <w:color w:val="auto"/>
                <w:kern w:val="0"/>
                <w:sz w:val="24"/>
                <w:highlight w:val="none"/>
              </w:rPr>
              <w:t>如有</w:t>
            </w:r>
            <w:r>
              <w:rPr>
                <w:rFonts w:hint="default" w:ascii="Times New Roman" w:hAnsi="Times New Roman" w:eastAsia="仿宋_GB2312" w:cs="Times New Roman"/>
                <w:bCs/>
                <w:color w:val="auto"/>
                <w:kern w:val="0"/>
                <w:sz w:val="24"/>
                <w:highlight w:val="none"/>
                <w:lang w:eastAsia="zh-CN"/>
              </w:rPr>
              <w:t>）</w:t>
            </w:r>
            <w:r>
              <w:rPr>
                <w:rFonts w:hint="default" w:ascii="Times New Roman" w:hAnsi="Times New Roman" w:eastAsia="仿宋_GB2312" w:cs="Times New Roman"/>
                <w:bCs/>
                <w:color w:val="auto"/>
                <w:kern w:val="0"/>
                <w:sz w:val="24"/>
                <w:highlight w:val="none"/>
              </w:rPr>
              <w:t>合伙人入伙、退伙、转让财产份额、有限合伙人与普通合伙人转变身份的情况及未来存续期间内的类似变动安排</w:t>
            </w:r>
            <w:r>
              <w:rPr>
                <w:rFonts w:hint="default" w:ascii="Times New Roman" w:hAnsi="Times New Roman" w:eastAsia="仿宋_GB2312" w:cs="Times New Roman"/>
                <w:bCs/>
                <w:color w:val="auto"/>
                <w:kern w:val="0"/>
                <w:sz w:val="24"/>
                <w:highlight w:val="none"/>
                <w:lang w:eastAsia="zh-CN"/>
              </w:rPr>
              <w:t>（</w:t>
            </w:r>
            <w:r>
              <w:rPr>
                <w:rFonts w:hint="default" w:ascii="Times New Roman" w:hAnsi="Times New Roman" w:eastAsia="仿宋_GB2312" w:cs="Times New Roman"/>
                <w:bCs/>
                <w:color w:val="auto"/>
                <w:kern w:val="0"/>
                <w:sz w:val="24"/>
                <w:highlight w:val="none"/>
              </w:rPr>
              <w:t>如有</w:t>
            </w:r>
            <w:r>
              <w:rPr>
                <w:rFonts w:hint="default" w:ascii="Times New Roman" w:hAnsi="Times New Roman" w:eastAsia="仿宋_GB2312" w:cs="Times New Roman"/>
                <w:bCs/>
                <w:color w:val="auto"/>
                <w:kern w:val="0"/>
                <w:sz w:val="24"/>
                <w:highlight w:val="none"/>
                <w:lang w:eastAsia="zh-CN"/>
              </w:rPr>
              <w:t>）</w:t>
            </w:r>
            <w:r>
              <w:rPr>
                <w:rFonts w:hint="default" w:ascii="Times New Roman" w:hAnsi="Times New Roman" w:eastAsia="仿宋_GB2312" w:cs="Times New Roman"/>
                <w:bCs/>
                <w:color w:val="auto"/>
                <w:kern w:val="0"/>
                <w:sz w:val="24"/>
                <w:highlight w:val="none"/>
              </w:rPr>
              <w:t>；</w:t>
            </w:r>
          </w:p>
          <w:p w14:paraId="7BFFE9D5">
            <w:pPr>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（3）交易对方为契约型私募基金、券商资产管理计划、基金专户及基金子公司产品、信托计划、理财产品、保险资管计划、专为本次交易设立的公司等，应当比照对合伙企业的上述要求进行披露。</w:t>
            </w:r>
          </w:p>
        </w:tc>
        <w:tc>
          <w:tcPr>
            <w:tcW w:w="5180" w:type="dxa"/>
            <w:noWrap/>
          </w:tcPr>
          <w:p w14:paraId="4CDF0C04">
            <w:pPr>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独立财务顾问应对以下事项进行核查，并在《独立财务顾问报告》中发表明确核查意见：</w:t>
            </w:r>
          </w:p>
          <w:p w14:paraId="28C0315B">
            <w:pPr>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1）涉及合伙企业的，核查各层合伙人取得相应权益的时间、出资方式、资金来源等；合伙企业是否专为本次交易设立，是否以持有标的资产为目的，是否存在其他投资,以及合伙协议约定的存续期限；合伙企业的委托人或合伙人之间是否存在分级收益等结构化安排；</w:t>
            </w:r>
          </w:p>
          <w:p w14:paraId="37743BCA">
            <w:pPr>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（2）涉及交易对方为本次交易专门设立的，核查穿透到非为本次交易设立的主体持有交易对方的份额锁定期安排是否合规；</w:t>
            </w:r>
          </w:p>
          <w:p w14:paraId="12B2618E">
            <w:pPr>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（3）涉及契约型私募基金的，是否完成私募基金备案，如未完成，是否已作出明确说明和承诺；</w:t>
            </w:r>
          </w:p>
          <w:p w14:paraId="71721B72">
            <w:pPr>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4）如涉及合伙企业、契约型私募基金、券商资管计划、信托计划、基金专户及基金子公司产品、理财产品、保险资管计划、专门为本次交易设立的公司等情况的，该主体/产品存续期，存续期安排是否与其锁定期安排匹配及合理性。</w:t>
            </w:r>
          </w:p>
          <w:p w14:paraId="16CCBDDC">
            <w:pPr>
              <w:ind w:firstLine="480" w:firstLineChars="200"/>
              <w:rPr>
                <w:rFonts w:hint="default" w:ascii="Times New Roman" w:hAnsi="Times New Roman" w:eastAsia="仿宋" w:cs="Times New Roman"/>
                <w:color w:val="auto"/>
                <w:spacing w:val="-1"/>
                <w:sz w:val="24"/>
                <w:highlight w:val="none"/>
              </w:rPr>
            </w:pPr>
            <w:r>
              <w:rPr>
                <w:rFonts w:hint="default" w:ascii="Times New Roman" w:hAnsi="Times New Roman" w:eastAsia="仿宋_GB2312" w:cs="Times New Roman"/>
                <w:bCs/>
                <w:color w:val="auto"/>
                <w:kern w:val="0"/>
                <w:sz w:val="24"/>
                <w:highlight w:val="none"/>
              </w:rPr>
              <w:t>律师应对上述事项进行核查，并发表明确核查意见。</w:t>
            </w:r>
          </w:p>
        </w:tc>
        <w:tc>
          <w:tcPr>
            <w:tcW w:w="1732" w:type="dxa"/>
            <w:noWrap/>
          </w:tcPr>
          <w:p w14:paraId="31DF6B37">
            <w:pPr>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color w:val="auto"/>
                <w:sz w:val="24"/>
                <w:highlight w:val="none"/>
              </w:rPr>
              <w:t>《26号格式准则》第十五条、《监管规则适用指引——上市类第1号》1-7</w:t>
            </w:r>
          </w:p>
        </w:tc>
      </w:tr>
      <w:tr w14:paraId="512B4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4" w:type="dxa"/>
            <w:noWrap/>
            <w:vAlign w:val="center"/>
          </w:tcPr>
          <w:p w14:paraId="0307504A">
            <w:pPr>
              <w:jc w:val="center"/>
              <w:rPr>
                <w:rFonts w:hint="default" w:ascii="Times New Roman" w:hAnsi="Times New Roman" w:eastAsia="仿宋_GB2312" w:cs="Times New Roman"/>
                <w:b/>
                <w:color w:val="auto"/>
                <w:kern w:val="0"/>
                <w:sz w:val="24"/>
                <w:szCs w:val="22"/>
                <w:highlight w:val="none"/>
                <w:lang w:val="en-US" w:eastAsia="zh-CN" w:bidi="ar-SA"/>
              </w:rPr>
            </w:pPr>
            <w:r>
              <w:rPr>
                <w:rFonts w:hint="default" w:ascii="Times New Roman" w:hAnsi="Times New Roman" w:eastAsia="仿宋_GB2312" w:cs="Times New Roman"/>
                <w:b/>
                <w:color w:val="auto"/>
                <w:kern w:val="0"/>
                <w:sz w:val="24"/>
                <w:highlight w:val="none"/>
                <w:lang w:val="en-US" w:eastAsia="zh-CN"/>
              </w:rPr>
              <w:t>2-13</w:t>
            </w:r>
          </w:p>
        </w:tc>
        <w:tc>
          <w:tcPr>
            <w:tcW w:w="1390" w:type="dxa"/>
            <w:noWrap/>
            <w:vAlign w:val="center"/>
          </w:tcPr>
          <w:p w14:paraId="7C8DED46">
            <w:pPr>
              <w:rPr>
                <w:rFonts w:hint="default" w:ascii="Times New Roman" w:hAnsi="Times New Roman" w:eastAsia="仿宋_GB2312" w:cs="Times New Roman"/>
                <w:b/>
                <w:color w:val="auto"/>
                <w:kern w:val="0"/>
                <w:sz w:val="24"/>
                <w:szCs w:val="22"/>
                <w:highlight w:val="none"/>
                <w:lang w:val="en-US" w:eastAsia="zh-CN" w:bidi="ar-SA"/>
              </w:rPr>
            </w:pPr>
            <w:r>
              <w:rPr>
                <w:rFonts w:hint="default" w:ascii="Times New Roman" w:hAnsi="Times New Roman" w:eastAsia="仿宋_GB2312" w:cs="Times New Roman"/>
                <w:b/>
                <w:color w:val="auto"/>
                <w:kern w:val="0"/>
                <w:sz w:val="24"/>
                <w:highlight w:val="none"/>
                <w:lang w:eastAsia="zh-CN"/>
              </w:rPr>
              <w:t>同业竞争</w:t>
            </w:r>
          </w:p>
        </w:tc>
        <w:tc>
          <w:tcPr>
            <w:tcW w:w="4884" w:type="dxa"/>
            <w:noWrap/>
            <w:vAlign w:val="top"/>
          </w:tcPr>
          <w:p w14:paraId="7D53A5B8">
            <w:pPr>
              <w:ind w:firstLine="480" w:firstLineChars="200"/>
              <w:rPr>
                <w:rFonts w:hint="default" w:ascii="Times New Roman" w:hAnsi="Times New Roman" w:eastAsia="仿宋_GB2312" w:cs="Times New Roman"/>
                <w:color w:val="auto"/>
                <w:kern w:val="0"/>
                <w:sz w:val="24"/>
                <w:highlight w:val="none"/>
                <w:lang w:eastAsia="zh-CN"/>
              </w:rPr>
            </w:pPr>
            <w:r>
              <w:rPr>
                <w:rFonts w:hint="default" w:ascii="Times New Roman" w:hAnsi="Times New Roman" w:eastAsia="仿宋_GB2312" w:cs="Times New Roman"/>
                <w:color w:val="auto"/>
                <w:kern w:val="0"/>
                <w:sz w:val="24"/>
                <w:highlight w:val="none"/>
                <w:lang w:eastAsia="zh-CN"/>
              </w:rPr>
              <w:t>上市公司应当在重组报告书中披露：</w:t>
            </w:r>
          </w:p>
          <w:p w14:paraId="002D50BB">
            <w:pPr>
              <w:ind w:firstLine="480" w:firstLineChars="200"/>
              <w:rPr>
                <w:rFonts w:hint="default" w:ascii="Times New Roman" w:hAnsi="Times New Roman" w:eastAsia="仿宋_GB2312" w:cs="Times New Roman"/>
                <w:color w:val="auto"/>
                <w:kern w:val="0"/>
                <w:sz w:val="24"/>
                <w:szCs w:val="22"/>
                <w:highlight w:val="none"/>
                <w:lang w:val="en-US" w:eastAsia="zh-CN" w:bidi="ar-SA"/>
              </w:rPr>
            </w:pPr>
            <w:r>
              <w:rPr>
                <w:rFonts w:hint="default" w:ascii="Times New Roman" w:hAnsi="Times New Roman" w:eastAsia="仿宋_GB2312" w:cs="Times New Roman"/>
                <w:color w:val="auto"/>
                <w:kern w:val="0"/>
                <w:sz w:val="24"/>
                <w:highlight w:val="none"/>
                <w:lang w:eastAsia="zh-CN"/>
              </w:rPr>
              <w:t>本次交易完成后，上市公司与实际控制人及其关联企业之间是否</w:t>
            </w:r>
            <w:r>
              <w:rPr>
                <w:rFonts w:hint="default" w:ascii="Times New Roman" w:hAnsi="Times New Roman" w:eastAsia="仿宋_GB2312" w:cs="Times New Roman"/>
                <w:color w:val="auto"/>
                <w:kern w:val="0"/>
                <w:sz w:val="24"/>
                <w:highlight w:val="none"/>
                <w:lang w:val="en-US" w:eastAsia="zh-CN"/>
              </w:rPr>
              <w:t>新增重大不利影响的</w:t>
            </w:r>
            <w:r>
              <w:rPr>
                <w:rFonts w:hint="default" w:ascii="Times New Roman" w:hAnsi="Times New Roman" w:eastAsia="仿宋_GB2312" w:cs="Times New Roman"/>
                <w:color w:val="auto"/>
                <w:kern w:val="0"/>
                <w:sz w:val="24"/>
                <w:highlight w:val="none"/>
                <w:lang w:eastAsia="zh-CN"/>
              </w:rPr>
              <w:t>同业竞争，同业竞争的具体内容和拟采取的具体解决或规范措施。</w:t>
            </w:r>
          </w:p>
        </w:tc>
        <w:tc>
          <w:tcPr>
            <w:tcW w:w="5180" w:type="dxa"/>
            <w:noWrap/>
            <w:vAlign w:val="top"/>
          </w:tcPr>
          <w:p w14:paraId="1BF49D1B">
            <w:pPr>
              <w:ind w:firstLine="480" w:firstLineChars="200"/>
              <w:rPr>
                <w:rFonts w:hint="default" w:ascii="Times New Roman" w:hAnsi="Times New Roman" w:eastAsia="仿宋_GB2312" w:cs="Times New Roman"/>
                <w:bCs/>
                <w:color w:val="auto"/>
                <w:kern w:val="0"/>
                <w:sz w:val="24"/>
                <w:highlight w:val="none"/>
                <w:lang w:eastAsia="zh-CN"/>
              </w:rPr>
            </w:pPr>
            <w:r>
              <w:rPr>
                <w:rFonts w:hint="default" w:ascii="Times New Roman" w:hAnsi="Times New Roman" w:eastAsia="仿宋_GB2312" w:cs="Times New Roman"/>
                <w:bCs/>
                <w:color w:val="auto"/>
                <w:kern w:val="0"/>
                <w:sz w:val="24"/>
                <w:highlight w:val="none"/>
                <w:lang w:eastAsia="zh-CN"/>
              </w:rPr>
              <w:t>独立财务顾问应对以下事项进行核查，并在《独立财务顾问报告》中发表明确核查意见：</w:t>
            </w:r>
          </w:p>
          <w:p w14:paraId="42DF52CF">
            <w:pPr>
              <w:numPr>
                <w:ilvl w:val="0"/>
                <w:numId w:val="6"/>
              </w:numPr>
              <w:ind w:firstLine="480" w:firstLineChars="200"/>
              <w:rPr>
                <w:rFonts w:hint="default" w:ascii="Times New Roman" w:hAnsi="Times New Roman" w:eastAsia="仿宋_GB2312" w:cs="Times New Roman"/>
                <w:bCs/>
                <w:color w:val="auto"/>
                <w:kern w:val="0"/>
                <w:sz w:val="24"/>
                <w:highlight w:val="none"/>
                <w:lang w:eastAsia="zh-CN"/>
              </w:rPr>
            </w:pPr>
            <w:r>
              <w:rPr>
                <w:rFonts w:hint="default" w:ascii="Times New Roman" w:hAnsi="Times New Roman" w:eastAsia="仿宋_GB2312" w:cs="Times New Roman"/>
                <w:bCs/>
                <w:color w:val="auto"/>
                <w:kern w:val="0"/>
                <w:sz w:val="24"/>
                <w:highlight w:val="none"/>
                <w:lang w:val="en-US" w:eastAsia="zh-CN"/>
              </w:rPr>
              <w:t>本次交易是否导致新增重大不利影响的同业竞争，同业竞争的具体内容，相关各方就解决现实同业竞争作出的明确承诺和安排，包括但不限于解决同业竞争的具体措施、时限、进度与保障，该等承诺和措施的后续执行是否存在重大不确定性，是否损害上市公司和中小股东利益</w:t>
            </w:r>
            <w:r>
              <w:rPr>
                <w:rFonts w:hint="default" w:ascii="Times New Roman" w:hAnsi="Times New Roman" w:eastAsia="仿宋_GB2312" w:cs="Times New Roman"/>
                <w:bCs/>
                <w:color w:val="auto"/>
                <w:kern w:val="0"/>
                <w:sz w:val="24"/>
                <w:highlight w:val="none"/>
                <w:lang w:eastAsia="zh-CN"/>
              </w:rPr>
              <w:t>；</w:t>
            </w:r>
          </w:p>
          <w:p w14:paraId="52A81303">
            <w:pPr>
              <w:numPr>
                <w:ilvl w:val="0"/>
                <w:numId w:val="6"/>
              </w:numPr>
              <w:ind w:firstLine="480" w:firstLineChars="200"/>
              <w:rPr>
                <w:rFonts w:hint="default" w:ascii="Times New Roman" w:hAnsi="Times New Roman" w:eastAsia="仿宋_GB2312" w:cs="Times New Roman"/>
                <w:bCs/>
                <w:color w:val="auto"/>
                <w:kern w:val="0"/>
                <w:sz w:val="24"/>
                <w:highlight w:val="none"/>
                <w:lang w:val="en-US" w:eastAsia="zh-CN"/>
              </w:rPr>
            </w:pPr>
            <w:r>
              <w:rPr>
                <w:rFonts w:hint="default" w:ascii="Times New Roman" w:hAnsi="Times New Roman" w:eastAsia="仿宋_GB2312" w:cs="Times New Roman"/>
                <w:bCs/>
                <w:color w:val="auto"/>
                <w:kern w:val="0"/>
                <w:sz w:val="24"/>
                <w:highlight w:val="none"/>
                <w:lang w:val="en-US" w:eastAsia="zh-CN"/>
              </w:rPr>
              <w:t>重组交易对方及其控股股东、实际控制人等是否已对避免潜在重大不利影响的同业竞争作出明确承诺，承诺内容是否明确可执行；</w:t>
            </w:r>
          </w:p>
          <w:p w14:paraId="0A27CB0A">
            <w:pPr>
              <w:numPr>
                <w:ilvl w:val="0"/>
                <w:numId w:val="6"/>
              </w:numPr>
              <w:ind w:firstLine="480" w:firstLineChars="200"/>
              <w:rPr>
                <w:rFonts w:hint="default" w:ascii="Times New Roman" w:hAnsi="Times New Roman" w:eastAsia="仿宋_GB2312" w:cs="Times New Roman"/>
                <w:bCs/>
                <w:color w:val="auto"/>
                <w:kern w:val="0"/>
                <w:sz w:val="24"/>
                <w:highlight w:val="none"/>
                <w:lang w:val="en-US" w:eastAsia="zh-CN"/>
              </w:rPr>
            </w:pPr>
            <w:r>
              <w:rPr>
                <w:rFonts w:hint="default" w:ascii="Times New Roman" w:hAnsi="Times New Roman" w:eastAsia="仿宋_GB2312" w:cs="Times New Roman"/>
                <w:bCs/>
                <w:color w:val="auto"/>
                <w:kern w:val="0"/>
                <w:sz w:val="24"/>
                <w:highlight w:val="none"/>
                <w:lang w:val="en-US" w:eastAsia="zh-CN"/>
              </w:rPr>
              <w:t>结合交易完成后可能导致的现实或潜在重大不利影响的同业竞争情况，核查并论证本次交易是否符合《重组办法》第四十四条的相关规定。</w:t>
            </w:r>
          </w:p>
          <w:p w14:paraId="253673D5">
            <w:pPr>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仿宋_GB2312" w:cs="Times New Roman"/>
                <w:bCs/>
                <w:color w:val="auto"/>
                <w:kern w:val="0"/>
                <w:sz w:val="24"/>
                <w:szCs w:val="22"/>
                <w:highlight w:val="none"/>
                <w:lang w:val="en-US" w:eastAsia="zh-CN" w:bidi="ar-SA"/>
              </w:rPr>
            </w:pPr>
            <w:r>
              <w:rPr>
                <w:rFonts w:hint="default" w:ascii="Times New Roman" w:hAnsi="Times New Roman" w:eastAsia="仿宋_GB2312" w:cs="Times New Roman"/>
                <w:bCs/>
                <w:color w:val="auto"/>
                <w:kern w:val="0"/>
                <w:sz w:val="24"/>
                <w:highlight w:val="none"/>
              </w:rPr>
              <w:t>律师应对上述事项进行核查，并发表明确核查意见。</w:t>
            </w:r>
          </w:p>
        </w:tc>
        <w:tc>
          <w:tcPr>
            <w:tcW w:w="1732" w:type="dxa"/>
            <w:noWrap/>
            <w:vAlign w:val="top"/>
          </w:tcPr>
          <w:p w14:paraId="3C9045C4">
            <w:pPr>
              <w:rPr>
                <w:rFonts w:hint="default" w:ascii="Times New Roman" w:hAnsi="Times New Roman" w:eastAsia="仿宋_GB2312" w:cs="Times New Roman"/>
                <w:color w:val="auto"/>
                <w:kern w:val="2"/>
                <w:sz w:val="24"/>
                <w:szCs w:val="22"/>
                <w:highlight w:val="none"/>
                <w:lang w:val="en-US" w:eastAsia="zh-CN" w:bidi="ar-SA"/>
              </w:rPr>
            </w:pPr>
            <w:r>
              <w:rPr>
                <w:rFonts w:hint="default" w:ascii="Times New Roman" w:hAnsi="Times New Roman" w:eastAsia="仿宋_GB2312" w:cs="Times New Roman"/>
                <w:color w:val="auto"/>
                <w:sz w:val="24"/>
                <w:highlight w:val="none"/>
                <w:lang w:val="en-US" w:eastAsia="zh-CN"/>
              </w:rPr>
              <w:t>《重组办法》第四十四条、《26号格式准则》第四十条</w:t>
            </w:r>
          </w:p>
        </w:tc>
      </w:tr>
      <w:tr w14:paraId="36DA8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1" w:hRule="atLeast"/>
        </w:trPr>
        <w:tc>
          <w:tcPr>
            <w:tcW w:w="864" w:type="dxa"/>
            <w:noWrap/>
            <w:vAlign w:val="center"/>
          </w:tcPr>
          <w:p w14:paraId="39E1F09E">
            <w:pPr>
              <w:jc w:val="center"/>
              <w:rPr>
                <w:rFonts w:hint="default" w:ascii="Times New Roman" w:hAnsi="Times New Roman" w:eastAsia="仿宋_GB2312" w:cs="Times New Roman"/>
                <w:b/>
                <w:color w:val="auto"/>
                <w:kern w:val="0"/>
                <w:sz w:val="24"/>
                <w:szCs w:val="22"/>
                <w:highlight w:val="none"/>
                <w:lang w:val="en-US" w:eastAsia="zh-CN" w:bidi="ar-SA"/>
              </w:rPr>
            </w:pPr>
            <w:r>
              <w:rPr>
                <w:rFonts w:hint="default" w:ascii="Times New Roman" w:hAnsi="Times New Roman" w:eastAsia="仿宋_GB2312" w:cs="Times New Roman"/>
                <w:b/>
                <w:color w:val="auto"/>
                <w:kern w:val="0"/>
                <w:sz w:val="24"/>
                <w:highlight w:val="none"/>
                <w:lang w:val="en-US" w:eastAsia="zh-CN"/>
              </w:rPr>
              <w:t>2-14</w:t>
            </w:r>
          </w:p>
        </w:tc>
        <w:tc>
          <w:tcPr>
            <w:tcW w:w="1390" w:type="dxa"/>
            <w:noWrap/>
            <w:vAlign w:val="center"/>
          </w:tcPr>
          <w:p w14:paraId="68E87102">
            <w:pPr>
              <w:rPr>
                <w:rFonts w:hint="default" w:ascii="Times New Roman" w:hAnsi="Times New Roman" w:eastAsia="仿宋_GB2312" w:cs="Times New Roman"/>
                <w:b/>
                <w:color w:val="auto"/>
                <w:kern w:val="0"/>
                <w:sz w:val="24"/>
                <w:szCs w:val="22"/>
                <w:highlight w:val="none"/>
                <w:lang w:val="en-US" w:eastAsia="zh-CN" w:bidi="ar-SA"/>
              </w:rPr>
            </w:pPr>
            <w:r>
              <w:rPr>
                <w:rFonts w:hint="default" w:ascii="Times New Roman" w:hAnsi="Times New Roman" w:eastAsia="仿宋_GB2312" w:cs="Times New Roman"/>
                <w:b/>
                <w:color w:val="auto"/>
                <w:kern w:val="0"/>
                <w:sz w:val="24"/>
                <w:highlight w:val="none"/>
                <w:lang w:eastAsia="zh-CN"/>
              </w:rPr>
              <w:t>关联交易</w:t>
            </w:r>
          </w:p>
        </w:tc>
        <w:tc>
          <w:tcPr>
            <w:tcW w:w="4884" w:type="dxa"/>
            <w:noWrap/>
            <w:vAlign w:val="top"/>
          </w:tcPr>
          <w:p w14:paraId="53644078">
            <w:pPr>
              <w:ind w:firstLine="480" w:firstLineChars="200"/>
              <w:rPr>
                <w:rFonts w:hint="default" w:ascii="Times New Roman" w:hAnsi="Times New Roman" w:eastAsia="仿宋_GB2312" w:cs="Times New Roman"/>
                <w:color w:val="auto"/>
                <w:kern w:val="0"/>
                <w:sz w:val="24"/>
                <w:highlight w:val="none"/>
                <w:lang w:eastAsia="zh-CN"/>
              </w:rPr>
            </w:pPr>
            <w:r>
              <w:rPr>
                <w:rFonts w:hint="default" w:ascii="Times New Roman" w:hAnsi="Times New Roman" w:eastAsia="仿宋_GB2312" w:cs="Times New Roman"/>
                <w:color w:val="auto"/>
                <w:kern w:val="0"/>
                <w:sz w:val="24"/>
                <w:highlight w:val="none"/>
                <w:lang w:eastAsia="zh-CN"/>
              </w:rPr>
              <w:t>上市公司应当在重组报告书中披露：</w:t>
            </w:r>
          </w:p>
          <w:p w14:paraId="7B965C70">
            <w:pPr>
              <w:numPr>
                <w:ilvl w:val="0"/>
                <w:numId w:val="7"/>
              </w:numPr>
              <w:ind w:firstLine="480" w:firstLineChars="200"/>
              <w:rPr>
                <w:rFonts w:hint="default" w:ascii="Times New Roman" w:hAnsi="Times New Roman" w:eastAsia="仿宋_GB2312" w:cs="Times New Roman"/>
                <w:color w:val="auto"/>
                <w:kern w:val="0"/>
                <w:sz w:val="24"/>
                <w:highlight w:val="none"/>
                <w:lang w:eastAsia="zh-CN"/>
              </w:rPr>
            </w:pPr>
            <w:r>
              <w:rPr>
                <w:rFonts w:hint="default" w:ascii="Times New Roman" w:hAnsi="Times New Roman" w:eastAsia="仿宋_GB2312" w:cs="Times New Roman"/>
                <w:color w:val="auto"/>
                <w:kern w:val="0"/>
                <w:sz w:val="24"/>
                <w:highlight w:val="none"/>
              </w:rPr>
              <w:t>交易标的在报告期是否存在关联交易、关联交易的具体内容、必要性及定价公允性</w:t>
            </w:r>
            <w:r>
              <w:rPr>
                <w:rFonts w:hint="default" w:ascii="Times New Roman" w:hAnsi="Times New Roman" w:eastAsia="仿宋_GB2312" w:cs="Times New Roman"/>
                <w:color w:val="auto"/>
                <w:kern w:val="0"/>
                <w:sz w:val="24"/>
                <w:highlight w:val="none"/>
                <w:lang w:eastAsia="zh-CN"/>
              </w:rPr>
              <w:t>；</w:t>
            </w:r>
          </w:p>
          <w:p w14:paraId="35E7B633">
            <w:pPr>
              <w:numPr>
                <w:ilvl w:val="0"/>
                <w:numId w:val="7"/>
              </w:numPr>
              <w:ind w:firstLine="480" w:firstLineChars="200"/>
              <w:rPr>
                <w:rFonts w:hint="default" w:ascii="Times New Roman" w:hAnsi="Times New Roman" w:eastAsia="仿宋_GB2312" w:cs="Times New Roman"/>
                <w:color w:val="auto"/>
                <w:kern w:val="0"/>
                <w:sz w:val="24"/>
                <w:highlight w:val="none"/>
                <w:lang w:eastAsia="zh-CN"/>
              </w:rPr>
            </w:pPr>
            <w:r>
              <w:rPr>
                <w:rFonts w:hint="default" w:ascii="Times New Roman" w:hAnsi="Times New Roman" w:eastAsia="仿宋_GB2312" w:cs="Times New Roman"/>
                <w:color w:val="auto"/>
                <w:kern w:val="0"/>
                <w:sz w:val="24"/>
                <w:highlight w:val="none"/>
                <w:lang w:eastAsia="zh-CN"/>
              </w:rPr>
              <w:t>列表披露本次交易前后上市公司最近一年及一期关联交易的金额及占比；</w:t>
            </w:r>
          </w:p>
          <w:p w14:paraId="382569AA">
            <w:pPr>
              <w:numPr>
                <w:ilvl w:val="0"/>
                <w:numId w:val="7"/>
              </w:numPr>
              <w:ind w:firstLine="480" w:firstLineChars="200"/>
              <w:rPr>
                <w:rFonts w:hint="default" w:ascii="Times New Roman" w:hAnsi="Times New Roman" w:eastAsia="仿宋_GB2312" w:cs="Times New Roman"/>
                <w:color w:val="auto"/>
                <w:kern w:val="0"/>
                <w:sz w:val="24"/>
                <w:szCs w:val="22"/>
                <w:highlight w:val="none"/>
                <w:lang w:val="en-US" w:eastAsia="zh-CN" w:bidi="ar-SA"/>
              </w:rPr>
            </w:pPr>
            <w:r>
              <w:rPr>
                <w:rFonts w:hint="default" w:ascii="Times New Roman" w:hAnsi="Times New Roman" w:eastAsia="仿宋_GB2312" w:cs="Times New Roman"/>
                <w:color w:val="auto"/>
                <w:kern w:val="0"/>
                <w:sz w:val="24"/>
                <w:highlight w:val="none"/>
                <w:lang w:eastAsia="zh-CN"/>
              </w:rPr>
              <w:t>本次交易完成后，上市公司与实际控制人及其关联企业之间是否</w:t>
            </w:r>
            <w:r>
              <w:rPr>
                <w:rFonts w:hint="default" w:ascii="Times New Roman" w:hAnsi="Times New Roman" w:eastAsia="仿宋_GB2312" w:cs="Times New Roman"/>
                <w:color w:val="auto"/>
                <w:kern w:val="0"/>
                <w:sz w:val="24"/>
                <w:highlight w:val="none"/>
                <w:lang w:val="en-US" w:eastAsia="zh-CN"/>
              </w:rPr>
              <w:t>新增</w:t>
            </w:r>
            <w:r>
              <w:rPr>
                <w:rFonts w:hint="default" w:ascii="Times New Roman" w:hAnsi="Times New Roman" w:eastAsia="仿宋_GB2312" w:cs="Times New Roman"/>
                <w:color w:val="auto"/>
                <w:kern w:val="0"/>
                <w:sz w:val="24"/>
                <w:highlight w:val="none"/>
                <w:lang w:eastAsia="zh-CN"/>
              </w:rPr>
              <w:t>关联交易，</w:t>
            </w:r>
            <w:r>
              <w:rPr>
                <w:rFonts w:hint="default" w:ascii="Times New Roman" w:hAnsi="Times New Roman" w:eastAsia="仿宋_GB2312" w:cs="Times New Roman"/>
                <w:color w:val="auto"/>
                <w:kern w:val="0"/>
                <w:sz w:val="24"/>
                <w:highlight w:val="none"/>
                <w:lang w:val="en-US" w:eastAsia="zh-CN"/>
              </w:rPr>
              <w:t>关联交易的具体内容，新增关联交易是否严重影响独立性或者显失公平，拟采取的具体解决或规范措施</w:t>
            </w:r>
            <w:r>
              <w:rPr>
                <w:rFonts w:hint="default" w:ascii="Times New Roman" w:hAnsi="Times New Roman" w:eastAsia="仿宋_GB2312" w:cs="Times New Roman"/>
                <w:color w:val="auto"/>
                <w:kern w:val="0"/>
                <w:sz w:val="24"/>
                <w:highlight w:val="none"/>
                <w:lang w:eastAsia="zh-CN"/>
              </w:rPr>
              <w:t>。</w:t>
            </w:r>
          </w:p>
        </w:tc>
        <w:tc>
          <w:tcPr>
            <w:tcW w:w="5180" w:type="dxa"/>
            <w:noWrap/>
            <w:vAlign w:val="top"/>
          </w:tcPr>
          <w:p w14:paraId="579C9F0A">
            <w:pPr>
              <w:ind w:firstLine="480" w:firstLineChars="200"/>
              <w:rPr>
                <w:rFonts w:hint="default" w:ascii="Times New Roman" w:hAnsi="Times New Roman" w:eastAsia="仿宋_GB2312" w:cs="Times New Roman"/>
                <w:bCs/>
                <w:color w:val="auto"/>
                <w:kern w:val="0"/>
                <w:sz w:val="24"/>
                <w:highlight w:val="none"/>
                <w:lang w:eastAsia="zh-CN"/>
              </w:rPr>
            </w:pPr>
            <w:r>
              <w:rPr>
                <w:rFonts w:hint="default" w:ascii="Times New Roman" w:hAnsi="Times New Roman" w:eastAsia="仿宋_GB2312" w:cs="Times New Roman"/>
                <w:bCs/>
                <w:color w:val="auto"/>
                <w:kern w:val="0"/>
                <w:sz w:val="24"/>
                <w:highlight w:val="none"/>
                <w:lang w:eastAsia="zh-CN"/>
              </w:rPr>
              <w:t>独立财务顾问应对以下事项进行核查，并在《独立财务顾问报告》中发表明确核查意见：</w:t>
            </w:r>
          </w:p>
          <w:p w14:paraId="19D57200">
            <w:pPr>
              <w:numPr>
                <w:ilvl w:val="0"/>
                <w:numId w:val="8"/>
              </w:numPr>
              <w:ind w:firstLine="480" w:firstLineChars="200"/>
              <w:rPr>
                <w:rFonts w:hint="default" w:ascii="Times New Roman" w:hAnsi="Times New Roman" w:eastAsia="仿宋_GB2312" w:cs="Times New Roman"/>
                <w:bCs/>
                <w:color w:val="auto"/>
                <w:kern w:val="0"/>
                <w:sz w:val="24"/>
                <w:highlight w:val="none"/>
                <w:lang w:eastAsia="zh-CN"/>
              </w:rPr>
            </w:pPr>
            <w:r>
              <w:rPr>
                <w:rFonts w:hint="default" w:ascii="Times New Roman" w:hAnsi="Times New Roman" w:eastAsia="仿宋_GB2312" w:cs="Times New Roman"/>
                <w:bCs/>
                <w:color w:val="auto"/>
                <w:kern w:val="0"/>
                <w:sz w:val="24"/>
                <w:highlight w:val="none"/>
                <w:lang w:eastAsia="zh-CN"/>
              </w:rPr>
              <w:t>结合标的资产关联方认定、报告期内关联交易信息披露的完整性，核查并说明关联交易的原因和必要性；</w:t>
            </w:r>
          </w:p>
          <w:p w14:paraId="160716C0">
            <w:pPr>
              <w:numPr>
                <w:ilvl w:val="0"/>
                <w:numId w:val="8"/>
              </w:numPr>
              <w:ind w:firstLine="480" w:firstLineChars="200"/>
              <w:rPr>
                <w:rFonts w:hint="default" w:ascii="Times New Roman" w:hAnsi="Times New Roman" w:eastAsia="仿宋_GB2312" w:cs="Times New Roman"/>
                <w:bCs/>
                <w:color w:val="auto"/>
                <w:kern w:val="0"/>
                <w:sz w:val="24"/>
                <w:highlight w:val="none"/>
                <w:lang w:val="en-US" w:eastAsia="zh-CN"/>
              </w:rPr>
            </w:pPr>
            <w:r>
              <w:rPr>
                <w:rFonts w:hint="default" w:ascii="Times New Roman" w:hAnsi="Times New Roman" w:eastAsia="仿宋_GB2312" w:cs="Times New Roman"/>
                <w:bCs/>
                <w:color w:val="auto"/>
                <w:kern w:val="0"/>
                <w:sz w:val="24"/>
                <w:highlight w:val="none"/>
                <w:lang w:val="en-US" w:eastAsia="zh-CN"/>
              </w:rPr>
              <w:t>结合标的资产关联交易的必要性，关联交易占标的资产收入、成本费用或利润总额的比例等，核查并说明是否严重影响独立性或者显失公平；</w:t>
            </w:r>
          </w:p>
          <w:p w14:paraId="6B4CBBCE">
            <w:pPr>
              <w:numPr>
                <w:ilvl w:val="0"/>
                <w:numId w:val="8"/>
              </w:numPr>
              <w:ind w:firstLine="480" w:firstLineChars="200"/>
              <w:rPr>
                <w:rFonts w:hint="default" w:ascii="Times New Roman" w:hAnsi="Times New Roman" w:eastAsia="仿宋_GB2312" w:cs="Times New Roman"/>
                <w:bCs/>
                <w:color w:val="auto"/>
                <w:kern w:val="0"/>
                <w:sz w:val="24"/>
                <w:highlight w:val="none"/>
                <w:lang w:val="en-US" w:eastAsia="zh-CN"/>
              </w:rPr>
            </w:pPr>
            <w:r>
              <w:rPr>
                <w:rFonts w:hint="default" w:ascii="Times New Roman" w:hAnsi="Times New Roman" w:eastAsia="仿宋_GB2312" w:cs="Times New Roman"/>
                <w:bCs/>
                <w:color w:val="auto"/>
                <w:kern w:val="0"/>
                <w:sz w:val="24"/>
                <w:highlight w:val="none"/>
                <w:lang w:val="en-US" w:eastAsia="zh-CN"/>
              </w:rPr>
              <w:t>交易完成后上市公司关联交易的具体情况及未来变化趋势，上市公司为保证关联交易价格公允拟采取的具体措施及其有效性；</w:t>
            </w:r>
          </w:p>
          <w:p w14:paraId="7F9084D7">
            <w:pPr>
              <w:numPr>
                <w:ilvl w:val="0"/>
                <w:numId w:val="8"/>
              </w:numPr>
              <w:ind w:firstLine="480" w:firstLineChars="200"/>
              <w:rPr>
                <w:rFonts w:hint="default" w:ascii="Times New Roman" w:hAnsi="Times New Roman" w:eastAsia="仿宋_GB2312" w:cs="Times New Roman"/>
                <w:bCs/>
                <w:color w:val="auto"/>
                <w:kern w:val="0"/>
                <w:sz w:val="24"/>
                <w:highlight w:val="none"/>
                <w:lang w:val="en-US" w:eastAsia="zh-CN"/>
              </w:rPr>
            </w:pPr>
            <w:r>
              <w:rPr>
                <w:rFonts w:hint="default" w:ascii="Times New Roman" w:hAnsi="Times New Roman" w:eastAsia="仿宋_GB2312" w:cs="Times New Roman"/>
                <w:bCs/>
                <w:color w:val="auto"/>
                <w:kern w:val="0"/>
                <w:sz w:val="24"/>
                <w:highlight w:val="none"/>
                <w:lang w:val="en-US" w:eastAsia="zh-CN"/>
              </w:rPr>
              <w:t>结合交易完成后新增关联交易金额及占比情况等，对本次交易是否符合《重组办法》第四十四条的相关规定审慎发表核查意见。</w:t>
            </w:r>
          </w:p>
          <w:p w14:paraId="7CBBDBF1">
            <w:pPr>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仿宋_GB2312" w:cs="Times New Roman"/>
                <w:bCs/>
                <w:color w:val="auto"/>
                <w:kern w:val="0"/>
                <w:sz w:val="24"/>
                <w:szCs w:val="22"/>
                <w:highlight w:val="none"/>
                <w:lang w:val="en-US" w:eastAsia="zh-CN" w:bidi="ar-SA"/>
              </w:rPr>
            </w:pPr>
            <w:r>
              <w:rPr>
                <w:rFonts w:hint="default" w:ascii="Times New Roman" w:hAnsi="Times New Roman" w:eastAsia="仿宋_GB2312" w:cs="Times New Roman"/>
                <w:bCs/>
                <w:color w:val="auto"/>
                <w:kern w:val="0"/>
                <w:sz w:val="24"/>
                <w:highlight w:val="none"/>
              </w:rPr>
              <w:t>律师</w:t>
            </w:r>
            <w:r>
              <w:rPr>
                <w:rFonts w:hint="default" w:ascii="Times New Roman" w:hAnsi="Times New Roman" w:eastAsia="仿宋_GB2312" w:cs="Times New Roman"/>
                <w:bCs/>
                <w:color w:val="auto"/>
                <w:kern w:val="0"/>
                <w:sz w:val="24"/>
                <w:highlight w:val="none"/>
                <w:lang w:eastAsia="zh-CN"/>
              </w:rPr>
              <w:t>、会计师</w:t>
            </w:r>
            <w:r>
              <w:rPr>
                <w:rFonts w:hint="default" w:ascii="Times New Roman" w:hAnsi="Times New Roman" w:eastAsia="仿宋_GB2312" w:cs="Times New Roman"/>
                <w:bCs/>
                <w:color w:val="auto"/>
                <w:kern w:val="0"/>
                <w:sz w:val="24"/>
                <w:highlight w:val="none"/>
              </w:rPr>
              <w:t>应对上述事项进行核查，并发表明确核查意见。</w:t>
            </w:r>
          </w:p>
        </w:tc>
        <w:tc>
          <w:tcPr>
            <w:tcW w:w="1732" w:type="dxa"/>
            <w:noWrap/>
            <w:vAlign w:val="top"/>
          </w:tcPr>
          <w:p w14:paraId="17A873F0">
            <w:pPr>
              <w:rPr>
                <w:rFonts w:hint="default" w:ascii="Times New Roman" w:hAnsi="Times New Roman" w:eastAsia="仿宋_GB2312" w:cs="Times New Roman"/>
                <w:color w:val="auto"/>
                <w:kern w:val="2"/>
                <w:sz w:val="24"/>
                <w:szCs w:val="22"/>
                <w:highlight w:val="none"/>
                <w:lang w:val="en-US" w:eastAsia="zh-CN" w:bidi="ar-SA"/>
              </w:rPr>
            </w:pPr>
            <w:r>
              <w:rPr>
                <w:rFonts w:hint="default" w:ascii="Times New Roman" w:hAnsi="Times New Roman" w:eastAsia="仿宋_GB2312" w:cs="Times New Roman"/>
                <w:color w:val="auto"/>
                <w:sz w:val="24"/>
                <w:highlight w:val="none"/>
                <w:lang w:val="en-US" w:eastAsia="zh-CN"/>
              </w:rPr>
              <w:t>《重组办法》第四十四条、《26号格式准则》第三十九条、第四十条</w:t>
            </w:r>
          </w:p>
        </w:tc>
      </w:tr>
      <w:tr w14:paraId="1BFBF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64" w:type="dxa"/>
            <w:noWrap/>
            <w:vAlign w:val="center"/>
          </w:tcPr>
          <w:p w14:paraId="745A73A3">
            <w:pPr>
              <w:jc w:val="center"/>
              <w:rPr>
                <w:rFonts w:hint="default" w:ascii="Times New Roman" w:hAnsi="Times New Roman" w:eastAsia="仿宋_GB2312" w:cs="Times New Roman"/>
                <w:b/>
                <w:bCs/>
                <w:color w:val="auto"/>
                <w:kern w:val="0"/>
                <w:sz w:val="24"/>
                <w:highlight w:val="none"/>
              </w:rPr>
            </w:pPr>
            <w:r>
              <w:rPr>
                <w:rFonts w:hint="default" w:ascii="Times New Roman" w:hAnsi="Times New Roman" w:eastAsia="仿宋_GB2312" w:cs="Times New Roman"/>
                <w:b/>
                <w:color w:val="auto"/>
                <w:kern w:val="0"/>
                <w:sz w:val="24"/>
                <w:highlight w:val="none"/>
              </w:rPr>
              <w:t>2-1</w:t>
            </w:r>
            <w:r>
              <w:rPr>
                <w:rFonts w:hint="default" w:ascii="Times New Roman" w:hAnsi="Times New Roman" w:eastAsia="仿宋_GB2312" w:cs="Times New Roman"/>
                <w:b/>
                <w:color w:val="auto"/>
                <w:kern w:val="0"/>
                <w:sz w:val="24"/>
                <w:highlight w:val="none"/>
                <w:lang w:val="en-US" w:eastAsia="zh-CN"/>
              </w:rPr>
              <w:t>5</w:t>
            </w:r>
          </w:p>
        </w:tc>
        <w:tc>
          <w:tcPr>
            <w:tcW w:w="1390" w:type="dxa"/>
            <w:noWrap/>
            <w:vAlign w:val="center"/>
          </w:tcPr>
          <w:p w14:paraId="6D9C58D3">
            <w:pPr>
              <w:rPr>
                <w:rFonts w:hint="default" w:ascii="Times New Roman" w:hAnsi="Times New Roman" w:eastAsia="仿宋_GB2312" w:cs="Times New Roman"/>
                <w:b/>
                <w:strike/>
                <w:color w:val="auto"/>
                <w:kern w:val="0"/>
                <w:sz w:val="24"/>
                <w:highlight w:val="none"/>
              </w:rPr>
            </w:pPr>
            <w:r>
              <w:rPr>
                <w:rFonts w:hint="default" w:ascii="Times New Roman" w:hAnsi="Times New Roman" w:eastAsia="仿宋_GB2312" w:cs="Times New Roman"/>
                <w:b/>
                <w:color w:val="auto"/>
                <w:kern w:val="0"/>
                <w:sz w:val="24"/>
                <w:highlight w:val="none"/>
              </w:rPr>
              <w:t>承诺事项及舆情情况</w:t>
            </w:r>
          </w:p>
        </w:tc>
        <w:tc>
          <w:tcPr>
            <w:tcW w:w="4884" w:type="dxa"/>
            <w:noWrap/>
          </w:tcPr>
          <w:p w14:paraId="6F8D0E01">
            <w:pPr>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上市公司应当在重组报告书中披露：</w:t>
            </w:r>
          </w:p>
          <w:p w14:paraId="1281C0DC">
            <w:pPr>
              <w:ind w:firstLine="480" w:firstLineChars="200"/>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1）预计本次重大资产重组将摊薄上市公司当年每股收益的，上市公司填补每股收益的具体措施，相关议案是否提交董事会和股东会进行表决。负责落实该等具体措施的相关责任主体应当公开承诺，保证切实履行其义务和责任；</w:t>
            </w:r>
          </w:p>
          <w:p w14:paraId="3B610368">
            <w:pPr>
              <w:ind w:firstLine="480" w:firstLineChars="200"/>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2）上市公司全体董事、高级管理人员应当公开承诺，保证重大资产重组的信息披露和申请文件不存在虚假记载、误导性陈述或者重大遗漏；重大资产重组的交易对方应当公开承诺，将及时向上市公司提供本次重组相关信息，并保证所提供的信息真实、准确、完整</w:t>
            </w:r>
            <w:r>
              <w:rPr>
                <w:rFonts w:hint="eastAsia" w:ascii="Times New Roman" w:hAnsi="Times New Roman" w:eastAsia="仿宋_GB2312" w:cs="Times New Roman"/>
                <w:color w:val="auto"/>
                <w:kern w:val="0"/>
                <w:sz w:val="24"/>
                <w:highlight w:val="none"/>
                <w:lang w:eastAsia="zh-CN"/>
              </w:rPr>
              <w:t>；</w:t>
            </w:r>
          </w:p>
          <w:p w14:paraId="45D6AA0C">
            <w:pPr>
              <w:ind w:firstLine="480" w:firstLineChars="200"/>
              <w:rPr>
                <w:rFonts w:hint="default" w:ascii="Times New Roman" w:hAnsi="Times New Roman" w:eastAsia="仿宋_GB2312" w:cs="Times New Roman"/>
                <w:color w:val="auto"/>
                <w:kern w:val="0"/>
                <w:sz w:val="24"/>
                <w:highlight w:val="none"/>
              </w:rPr>
            </w:pPr>
            <w:r>
              <w:rPr>
                <w:rFonts w:hint="default" w:ascii="Times New Roman" w:hAnsi="Times New Roman" w:eastAsia="仿宋_GB2312" w:cs="Times New Roman"/>
                <w:color w:val="auto"/>
                <w:kern w:val="0"/>
                <w:sz w:val="24"/>
                <w:highlight w:val="none"/>
              </w:rPr>
              <w:t>（3）上市公司控股股东、实际控制人、董事、高级管理人员及交易对方应当公开承诺：如本次交易所披露或提供的信息涉嫌虚假记载、误导性陈述或者重大遗漏，被司法机关立案侦查或者被中国证监会立案调查的，在形成调查结论以前，不转让在该上市公司拥有权益的股份，并于收到立案稽查通知的两个交易日内将暂停转让的书面申请和股票账户提交上市公司董事会，由董事会代其向证券交易所和证券登记结算机构申请锁定；未在两个交易日内提交锁定申请的，授权董事会核实后直接向证券交易所和证券登记结算机构报送本人或本单位的身份信息和账户信息并申请锁定；董事会未向证券交易所和证券登记结算机构报送本人或本单位的身份信息和账户信息的，授权证券交易所和证券登记结算机构直接锁定相关股份。如调查结论发现存在违法违规情节，本人或本单位承诺锁定股份自愿用于相关投资者赔偿安排</w:t>
            </w:r>
            <w:r>
              <w:rPr>
                <w:rFonts w:hint="eastAsia" w:ascii="Times New Roman" w:hAnsi="Times New Roman" w:eastAsia="仿宋_GB2312" w:cs="Times New Roman"/>
                <w:color w:val="auto"/>
                <w:kern w:val="0"/>
                <w:sz w:val="24"/>
                <w:highlight w:val="none"/>
                <w:lang w:eastAsia="zh-CN"/>
              </w:rPr>
              <w:t>；</w:t>
            </w:r>
          </w:p>
          <w:p w14:paraId="5D63A56F">
            <w:pPr>
              <w:ind w:firstLine="480" w:firstLineChars="200"/>
              <w:rPr>
                <w:rFonts w:hint="default" w:ascii="Times New Roman" w:hAnsi="Times New Roman" w:eastAsia="仿宋_GB2312" w:cs="Times New Roman"/>
                <w:strike/>
                <w:color w:val="auto"/>
                <w:kern w:val="0"/>
                <w:sz w:val="24"/>
                <w:highlight w:val="none"/>
              </w:rPr>
            </w:pPr>
            <w:r>
              <w:rPr>
                <w:rFonts w:hint="default" w:ascii="Times New Roman" w:hAnsi="Times New Roman" w:eastAsia="仿宋_GB2312" w:cs="Times New Roman"/>
                <w:color w:val="auto"/>
                <w:kern w:val="0"/>
                <w:sz w:val="24"/>
                <w:highlight w:val="none"/>
              </w:rPr>
              <w:t>（</w:t>
            </w:r>
            <w:r>
              <w:rPr>
                <w:rFonts w:hint="default" w:ascii="Times New Roman" w:hAnsi="Times New Roman" w:eastAsia="仿宋_GB2312" w:cs="Times New Roman"/>
                <w:color w:val="auto"/>
                <w:kern w:val="0"/>
                <w:sz w:val="24"/>
                <w:highlight w:val="none"/>
                <w:lang w:val="en-US" w:eastAsia="zh-CN"/>
              </w:rPr>
              <w:t>4</w:t>
            </w:r>
            <w:r>
              <w:rPr>
                <w:rFonts w:hint="default" w:ascii="Times New Roman" w:hAnsi="Times New Roman" w:eastAsia="仿宋_GB2312" w:cs="Times New Roman"/>
                <w:color w:val="auto"/>
                <w:kern w:val="0"/>
                <w:sz w:val="24"/>
                <w:highlight w:val="none"/>
              </w:rPr>
              <w:t>）相关主体按照《重组办法》《26号格式准则》等规定作出的其他承诺。</w:t>
            </w:r>
          </w:p>
        </w:tc>
        <w:tc>
          <w:tcPr>
            <w:tcW w:w="5180" w:type="dxa"/>
            <w:noWrap/>
          </w:tcPr>
          <w:p w14:paraId="3FD85661">
            <w:pPr>
              <w:widowControl/>
              <w:ind w:firstLine="480" w:firstLineChars="200"/>
              <w:rPr>
                <w:rFonts w:hint="default" w:ascii="Times New Roman" w:hAnsi="Times New Roman" w:eastAsia="仿宋_GB2312" w:cs="Times New Roman"/>
                <w:bCs/>
                <w:color w:val="auto"/>
                <w:kern w:val="0"/>
                <w:sz w:val="24"/>
                <w:highlight w:val="none"/>
              </w:rPr>
            </w:pPr>
            <w:r>
              <w:rPr>
                <w:rFonts w:hint="default" w:ascii="Times New Roman" w:hAnsi="Times New Roman" w:eastAsia="仿宋_GB2312" w:cs="Times New Roman"/>
                <w:bCs/>
                <w:color w:val="auto"/>
                <w:kern w:val="0"/>
                <w:sz w:val="24"/>
                <w:highlight w:val="none"/>
              </w:rPr>
              <w:t>独立财务顾问应对以下事项进行核查，并在《独立财务顾问报告》中发表明确核查意见：</w:t>
            </w:r>
          </w:p>
          <w:p w14:paraId="5703AA06">
            <w:pPr>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（1）上市公司、交易对方及有关各方是否</w:t>
            </w:r>
            <w:r>
              <w:rPr>
                <w:rFonts w:hint="default" w:ascii="Times New Roman" w:hAnsi="Times New Roman" w:eastAsia="仿宋_GB2312" w:cs="Times New Roman"/>
                <w:color w:val="auto"/>
                <w:kern w:val="0"/>
                <w:sz w:val="24"/>
                <w:highlight w:val="none"/>
              </w:rPr>
              <w:t>按照</w:t>
            </w:r>
            <w:r>
              <w:rPr>
                <w:rFonts w:hint="default" w:ascii="Times New Roman" w:hAnsi="Times New Roman" w:eastAsia="仿宋_GB2312" w:cs="Times New Roman"/>
                <w:color w:val="auto"/>
                <w:sz w:val="24"/>
                <w:highlight w:val="none"/>
              </w:rPr>
              <w:t>《重组办法》《26号格式准则》《监管规则适用指引——上市类第1号》之1-7等规定出具承诺；</w:t>
            </w:r>
          </w:p>
          <w:p w14:paraId="38EC10CB">
            <w:pPr>
              <w:ind w:firstLine="480" w:firstLineChars="200"/>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w:t>
            </w:r>
            <w:r>
              <w:rPr>
                <w:rFonts w:hint="default" w:ascii="Times New Roman" w:hAnsi="Times New Roman" w:eastAsia="仿宋_GB2312" w:cs="Times New Roman"/>
                <w:color w:val="auto"/>
                <w:kern w:val="0"/>
                <w:sz w:val="24"/>
                <w:highlight w:val="none"/>
              </w:rPr>
              <w:t>本次交易相关的舆情情况，相关事项是否影响重组条件和信息披露要求；对于涉及的重大舆情情况审慎核查并发表意见。</w:t>
            </w:r>
          </w:p>
          <w:p w14:paraId="7C0882BB">
            <w:pPr>
              <w:ind w:firstLine="480" w:firstLineChars="200"/>
              <w:rPr>
                <w:rFonts w:hint="default" w:ascii="Times New Roman" w:hAnsi="Times New Roman" w:eastAsia="仿宋_GB2312" w:cs="Times New Roman"/>
                <w:bCs/>
                <w:strike/>
                <w:color w:val="auto"/>
                <w:kern w:val="0"/>
                <w:sz w:val="24"/>
                <w:highlight w:val="none"/>
              </w:rPr>
            </w:pPr>
            <w:r>
              <w:rPr>
                <w:rFonts w:hint="default" w:ascii="Times New Roman" w:hAnsi="Times New Roman" w:eastAsia="仿宋_GB2312" w:cs="Times New Roman"/>
                <w:bCs/>
                <w:color w:val="auto"/>
                <w:kern w:val="0"/>
                <w:sz w:val="24"/>
                <w:highlight w:val="none"/>
              </w:rPr>
              <w:t>律师应对上述事项（1）进行核查，并发表明确核查意见。律师、会计师和评估师应视舆情情况，对相关事项进行核查，并发表明确核查意见。</w:t>
            </w:r>
          </w:p>
        </w:tc>
        <w:tc>
          <w:tcPr>
            <w:tcW w:w="1732" w:type="dxa"/>
            <w:noWrap/>
          </w:tcPr>
          <w:p w14:paraId="62ED8700">
            <w:pP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《重组办法》第二十六条、</w:t>
            </w:r>
          </w:p>
          <w:p w14:paraId="64EAB4A2">
            <w:pPr>
              <w:rPr>
                <w:rFonts w:hint="default" w:ascii="Times New Roman" w:hAnsi="Times New Roman" w:eastAsia="仿宋_GB2312" w:cs="Times New Roman"/>
                <w:strike/>
                <w:color w:val="auto"/>
                <w:sz w:val="24"/>
                <w:highlight w:val="none"/>
              </w:rPr>
            </w:pPr>
            <w:r>
              <w:rPr>
                <w:rFonts w:hint="default" w:ascii="Times New Roman" w:hAnsi="Times New Roman" w:eastAsia="仿宋_GB2312" w:cs="Times New Roman"/>
                <w:color w:val="auto"/>
                <w:sz w:val="24"/>
                <w:highlight w:val="none"/>
              </w:rPr>
              <w:t>第三十五条、第四十</w:t>
            </w:r>
            <w:r>
              <w:rPr>
                <w:rFonts w:hint="default" w:ascii="Times New Roman" w:hAnsi="Times New Roman" w:eastAsia="仿宋_GB2312" w:cs="Times New Roman"/>
                <w:color w:val="auto"/>
                <w:sz w:val="24"/>
                <w:highlight w:val="none"/>
                <w:lang w:eastAsia="zh-CN"/>
              </w:rPr>
              <w:t>七</w:t>
            </w:r>
            <w:r>
              <w:rPr>
                <w:rFonts w:hint="default" w:ascii="Times New Roman" w:hAnsi="Times New Roman" w:eastAsia="仿宋_GB2312" w:cs="Times New Roman"/>
                <w:color w:val="auto"/>
                <w:sz w:val="24"/>
                <w:highlight w:val="none"/>
              </w:rPr>
              <w:t>条、第四十</w:t>
            </w:r>
            <w:r>
              <w:rPr>
                <w:rFonts w:hint="default" w:ascii="Times New Roman" w:hAnsi="Times New Roman" w:eastAsia="仿宋_GB2312" w:cs="Times New Roman"/>
                <w:color w:val="auto"/>
                <w:sz w:val="24"/>
                <w:highlight w:val="none"/>
                <w:lang w:eastAsia="zh-CN"/>
              </w:rPr>
              <w:t>八</w:t>
            </w:r>
            <w:r>
              <w:rPr>
                <w:rFonts w:hint="default" w:ascii="Times New Roman" w:hAnsi="Times New Roman" w:eastAsia="仿宋_GB2312" w:cs="Times New Roman"/>
                <w:color w:val="auto"/>
                <w:sz w:val="24"/>
                <w:highlight w:val="none"/>
              </w:rPr>
              <w:t>条等，《26号格式准则》第十一条、第五十四条，《监管规则适用指引——上市类第1号》1-7，</w:t>
            </w:r>
            <w:r>
              <w:rPr>
                <w:rFonts w:hint="default" w:ascii="Times New Roman" w:hAnsi="Times New Roman" w:eastAsia="仿宋_GB2312" w:cs="Times New Roman"/>
                <w:bCs/>
                <w:color w:val="auto"/>
                <w:sz w:val="24"/>
                <w:highlight w:val="none"/>
              </w:rPr>
              <w:t>《重组审核规则》第</w:t>
            </w:r>
            <w:r>
              <w:rPr>
                <w:rFonts w:hint="default" w:ascii="Times New Roman" w:hAnsi="Times New Roman" w:eastAsia="仿宋_GB2312" w:cs="Times New Roman"/>
                <w:bCs/>
                <w:color w:val="auto"/>
                <w:sz w:val="24"/>
                <w:highlight w:val="none"/>
                <w:lang w:val="en-US" w:eastAsia="zh-CN"/>
              </w:rPr>
              <w:t>六十五</w:t>
            </w:r>
            <w:r>
              <w:rPr>
                <w:rFonts w:hint="default" w:ascii="Times New Roman" w:hAnsi="Times New Roman" w:eastAsia="仿宋_GB2312" w:cs="Times New Roman"/>
                <w:bCs/>
                <w:color w:val="auto"/>
                <w:sz w:val="24"/>
                <w:highlight w:val="none"/>
              </w:rPr>
              <w:t>条</w:t>
            </w:r>
          </w:p>
        </w:tc>
      </w:tr>
    </w:tbl>
    <w:p w14:paraId="7F791D3D">
      <w:pPr>
        <w:rPr>
          <w:rFonts w:hint="default" w:ascii="Times New Roman" w:hAnsi="Times New Roman" w:cs="Times New Roman"/>
          <w:color w:val="000000" w:themeColor="text1"/>
          <w:highlight w:val="none"/>
          <w14:textFill>
            <w14:solidFill>
              <w14:schemeClr w14:val="tx1"/>
            </w14:solidFill>
          </w14:textFill>
        </w:rPr>
      </w:pP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0"/>
        <w:gridCol w:w="1389"/>
        <w:gridCol w:w="4909"/>
        <w:gridCol w:w="5184"/>
        <w:gridCol w:w="1678"/>
      </w:tblGrid>
      <w:tr w14:paraId="4C08B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tblHeader/>
        </w:trPr>
        <w:tc>
          <w:tcPr>
            <w:tcW w:w="14010" w:type="dxa"/>
            <w:gridSpan w:val="5"/>
            <w:shd w:val="clear" w:color="auto" w:fill="8DB3E2"/>
            <w:noWrap/>
            <w:vAlign w:val="center"/>
          </w:tcPr>
          <w:p w14:paraId="03B53724">
            <w:pPr>
              <w:jc w:val="center"/>
              <w:rPr>
                <w:rFonts w:hint="default" w:ascii="Times New Roman" w:hAnsi="Times New Roman" w:eastAsia="仿宋_GB2312" w:cs="Times New Roman"/>
                <w:b/>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
                <w:color w:val="000000" w:themeColor="text1"/>
                <w:sz w:val="24"/>
                <w:szCs w:val="24"/>
                <w:highlight w:val="none"/>
                <w14:textFill>
                  <w14:solidFill>
                    <w14:schemeClr w14:val="tx1"/>
                  </w14:solidFill>
                </w14:textFill>
              </w:rPr>
              <w:t>三、关于标的资产估值与作价</w:t>
            </w:r>
          </w:p>
        </w:tc>
      </w:tr>
      <w:tr w14:paraId="0CFDB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850" w:type="dxa"/>
            <w:noWrap/>
            <w:vAlign w:val="center"/>
          </w:tcPr>
          <w:p w14:paraId="7FBD40E5">
            <w:pPr>
              <w:jc w:val="center"/>
              <w:rPr>
                <w:rFonts w:hint="default" w:ascii="Times New Roman" w:hAnsi="Times New Roman" w:eastAsia="仿宋_GB2312" w:cs="Times New Roman"/>
                <w:b/>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
                <w:color w:val="000000" w:themeColor="text1"/>
                <w:sz w:val="24"/>
                <w:szCs w:val="24"/>
                <w:highlight w:val="none"/>
                <w14:textFill>
                  <w14:solidFill>
                    <w14:schemeClr w14:val="tx1"/>
                  </w14:solidFill>
                </w14:textFill>
              </w:rPr>
              <w:t>序号</w:t>
            </w:r>
          </w:p>
        </w:tc>
        <w:tc>
          <w:tcPr>
            <w:tcW w:w="1389" w:type="dxa"/>
            <w:noWrap/>
            <w:vAlign w:val="center"/>
          </w:tcPr>
          <w:p w14:paraId="5A0E9F26">
            <w:pPr>
              <w:jc w:val="center"/>
              <w:rPr>
                <w:rFonts w:hint="default" w:ascii="Times New Roman" w:hAnsi="Times New Roman" w:eastAsia="仿宋_GB2312" w:cs="Times New Roman"/>
                <w:b/>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
                <w:color w:val="000000" w:themeColor="text1"/>
                <w:sz w:val="24"/>
                <w:szCs w:val="24"/>
                <w:highlight w:val="none"/>
                <w14:textFill>
                  <w14:solidFill>
                    <w14:schemeClr w14:val="tx1"/>
                  </w14:solidFill>
                </w14:textFill>
              </w:rPr>
              <w:t>问题</w:t>
            </w:r>
          </w:p>
        </w:tc>
        <w:tc>
          <w:tcPr>
            <w:tcW w:w="4909" w:type="dxa"/>
            <w:noWrap/>
            <w:vAlign w:val="center"/>
          </w:tcPr>
          <w:p w14:paraId="3A8A7E49">
            <w:pPr>
              <w:jc w:val="center"/>
              <w:rPr>
                <w:rFonts w:hint="default" w:ascii="Times New Roman" w:hAnsi="Times New Roman" w:eastAsia="仿宋_GB2312" w:cs="Times New Roman"/>
                <w:b/>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
                <w:color w:val="000000" w:themeColor="text1"/>
                <w:sz w:val="24"/>
                <w:szCs w:val="24"/>
                <w:highlight w:val="none"/>
                <w14:textFill>
                  <w14:solidFill>
                    <w14:schemeClr w14:val="tx1"/>
                  </w14:solidFill>
                </w14:textFill>
              </w:rPr>
              <w:t>披露要求</w:t>
            </w:r>
          </w:p>
        </w:tc>
        <w:tc>
          <w:tcPr>
            <w:tcW w:w="5184" w:type="dxa"/>
            <w:noWrap/>
            <w:vAlign w:val="center"/>
          </w:tcPr>
          <w:p w14:paraId="6C901763">
            <w:pPr>
              <w:jc w:val="center"/>
              <w:rPr>
                <w:rFonts w:hint="default" w:ascii="Times New Roman" w:hAnsi="Times New Roman" w:eastAsia="仿宋_GB2312" w:cs="Times New Roman"/>
                <w:b/>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
                <w:color w:val="000000" w:themeColor="text1"/>
                <w:sz w:val="24"/>
                <w:szCs w:val="24"/>
                <w:highlight w:val="none"/>
                <w14:textFill>
                  <w14:solidFill>
                    <w14:schemeClr w14:val="tx1"/>
                  </w14:solidFill>
                </w14:textFill>
              </w:rPr>
              <w:t>核查要求</w:t>
            </w:r>
          </w:p>
        </w:tc>
        <w:tc>
          <w:tcPr>
            <w:tcW w:w="1678" w:type="dxa"/>
            <w:noWrap/>
            <w:vAlign w:val="center"/>
          </w:tcPr>
          <w:p w14:paraId="5261B5A7">
            <w:pPr>
              <w:jc w:val="center"/>
              <w:rPr>
                <w:rFonts w:hint="default" w:ascii="Times New Roman" w:hAnsi="Times New Roman" w:eastAsia="仿宋_GB2312" w:cs="Times New Roman"/>
                <w:b/>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
                <w:color w:val="000000" w:themeColor="text1"/>
                <w:sz w:val="24"/>
                <w:szCs w:val="24"/>
                <w:highlight w:val="none"/>
                <w14:textFill>
                  <w14:solidFill>
                    <w14:schemeClr w14:val="tx1"/>
                  </w14:solidFill>
                </w14:textFill>
              </w:rPr>
              <w:t>参考规范</w:t>
            </w:r>
          </w:p>
        </w:tc>
      </w:tr>
      <w:tr w14:paraId="22A9F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noWrap/>
            <w:vAlign w:val="center"/>
          </w:tcPr>
          <w:p w14:paraId="2112BC95">
            <w:pPr>
              <w:jc w:val="center"/>
              <w:rPr>
                <w:rFonts w:hint="default" w:ascii="Times New Roman" w:hAnsi="Times New Roman" w:eastAsia="仿宋_GB2312" w:cs="Times New Roman"/>
                <w:b/>
                <w:color w:val="000000" w:themeColor="text1"/>
                <w:spacing w:val="-8"/>
                <w:sz w:val="24"/>
                <w:szCs w:val="24"/>
                <w:highlight w:val="none"/>
                <w14:textFill>
                  <w14:solidFill>
                    <w14:schemeClr w14:val="tx1"/>
                  </w14:solidFill>
                </w14:textFill>
              </w:rPr>
            </w:pPr>
            <w:r>
              <w:rPr>
                <w:rFonts w:hint="default" w:ascii="Times New Roman" w:hAnsi="Times New Roman" w:eastAsia="仿宋_GB2312" w:cs="Times New Roman"/>
                <w:b/>
                <w:color w:val="000000" w:themeColor="text1"/>
                <w:spacing w:val="-8"/>
                <w:sz w:val="24"/>
                <w:szCs w:val="24"/>
                <w:highlight w:val="none"/>
                <w14:textFill>
                  <w14:solidFill>
                    <w14:schemeClr w14:val="tx1"/>
                  </w14:solidFill>
                </w14:textFill>
              </w:rPr>
              <w:t>3-1</w:t>
            </w:r>
          </w:p>
        </w:tc>
        <w:tc>
          <w:tcPr>
            <w:tcW w:w="1389" w:type="dxa"/>
            <w:noWrap/>
            <w:vAlign w:val="center"/>
          </w:tcPr>
          <w:p w14:paraId="1DEE4373">
            <w:pPr>
              <w:rPr>
                <w:rFonts w:hint="default" w:ascii="Times New Roman" w:hAnsi="Times New Roman" w:eastAsia="仿宋_GB2312" w:cs="Times New Roman"/>
                <w:b/>
                <w:color w:val="000000" w:themeColor="text1"/>
                <w:spacing w:val="-4"/>
                <w:sz w:val="24"/>
                <w:szCs w:val="24"/>
                <w:highlight w:val="none"/>
                <w14:textFill>
                  <w14:solidFill>
                    <w14:schemeClr w14:val="tx1"/>
                  </w14:solidFill>
                </w14:textFill>
              </w:rPr>
            </w:pPr>
            <w:r>
              <w:rPr>
                <w:rFonts w:hint="default" w:ascii="Times New Roman" w:hAnsi="Times New Roman" w:eastAsia="仿宋_GB2312" w:cs="Times New Roman"/>
                <w:b/>
                <w:color w:val="000000" w:themeColor="text1"/>
                <w:spacing w:val="-4"/>
                <w:sz w:val="24"/>
                <w:szCs w:val="24"/>
                <w:highlight w:val="none"/>
                <w14:textFill>
                  <w14:solidFill>
                    <w14:schemeClr w14:val="tx1"/>
                  </w14:solidFill>
                </w14:textFill>
              </w:rPr>
              <w:t>本次</w:t>
            </w:r>
            <w:r>
              <w:rPr>
                <w:rFonts w:hint="default" w:ascii="Times New Roman" w:hAnsi="Times New Roman" w:eastAsia="仿宋_GB2312" w:cs="Times New Roman"/>
                <w:b/>
                <w:color w:val="000000" w:themeColor="text1"/>
                <w:spacing w:val="-3"/>
                <w:sz w:val="24"/>
                <w:szCs w:val="24"/>
                <w:highlight w:val="none"/>
                <w14:textFill>
                  <w14:solidFill>
                    <w14:schemeClr w14:val="tx1"/>
                  </w14:solidFill>
                </w14:textFill>
              </w:rPr>
              <w:t>交</w:t>
            </w:r>
            <w:r>
              <w:rPr>
                <w:rFonts w:hint="default" w:ascii="Times New Roman" w:hAnsi="Times New Roman" w:eastAsia="仿宋_GB2312" w:cs="Times New Roman"/>
                <w:b/>
                <w:color w:val="000000" w:themeColor="text1"/>
                <w:spacing w:val="-2"/>
                <w:sz w:val="24"/>
                <w:szCs w:val="24"/>
                <w:highlight w:val="none"/>
                <w14:textFill>
                  <w14:solidFill>
                    <w14:schemeClr w14:val="tx1"/>
                  </w14:solidFill>
                </w14:textFill>
              </w:rPr>
              <w:t>易</w:t>
            </w:r>
            <w:r>
              <w:rPr>
                <w:rFonts w:hint="default" w:ascii="Times New Roman" w:hAnsi="Times New Roman" w:eastAsia="仿宋_GB2312" w:cs="Times New Roman"/>
                <w:b/>
                <w:color w:val="000000" w:themeColor="text1"/>
                <w:spacing w:val="-4"/>
                <w:sz w:val="24"/>
                <w:szCs w:val="24"/>
                <w:highlight w:val="none"/>
                <w14:textFill>
                  <w14:solidFill>
                    <w14:schemeClr w14:val="tx1"/>
                  </w14:solidFill>
                </w14:textFill>
              </w:rPr>
              <w:t>以资</w:t>
            </w:r>
            <w:r>
              <w:rPr>
                <w:rFonts w:hint="default" w:ascii="Times New Roman" w:hAnsi="Times New Roman" w:eastAsia="仿宋_GB2312" w:cs="Times New Roman"/>
                <w:b/>
                <w:color w:val="000000" w:themeColor="text1"/>
                <w:spacing w:val="-3"/>
                <w:sz w:val="24"/>
                <w:szCs w:val="24"/>
                <w:highlight w:val="none"/>
                <w14:textFill>
                  <w14:solidFill>
                    <w14:schemeClr w14:val="tx1"/>
                  </w14:solidFill>
                </w14:textFill>
              </w:rPr>
              <w:t>产</w:t>
            </w:r>
            <w:r>
              <w:rPr>
                <w:rFonts w:hint="default" w:ascii="Times New Roman" w:hAnsi="Times New Roman" w:eastAsia="仿宋_GB2312" w:cs="Times New Roman"/>
                <w:b/>
                <w:color w:val="000000" w:themeColor="text1"/>
                <w:spacing w:val="-2"/>
                <w:sz w:val="24"/>
                <w:szCs w:val="24"/>
                <w:highlight w:val="none"/>
                <w14:textFill>
                  <w14:solidFill>
                    <w14:schemeClr w14:val="tx1"/>
                  </w14:solidFill>
                </w14:textFill>
              </w:rPr>
              <w:t>评估结</w:t>
            </w:r>
            <w:r>
              <w:rPr>
                <w:rFonts w:hint="default" w:ascii="Times New Roman" w:hAnsi="Times New Roman" w:eastAsia="仿宋_GB2312" w:cs="Times New Roman"/>
                <w:b/>
                <w:color w:val="000000" w:themeColor="text1"/>
                <w:spacing w:val="-4"/>
                <w:sz w:val="24"/>
                <w:szCs w:val="24"/>
                <w:highlight w:val="none"/>
                <w14:textFill>
                  <w14:solidFill>
                    <w14:schemeClr w14:val="tx1"/>
                  </w14:solidFill>
                </w14:textFill>
              </w:rPr>
              <w:t>果或</w:t>
            </w:r>
            <w:r>
              <w:rPr>
                <w:rFonts w:hint="default" w:ascii="Times New Roman" w:hAnsi="Times New Roman" w:eastAsia="仿宋_GB2312" w:cs="Times New Roman"/>
                <w:b/>
                <w:color w:val="000000" w:themeColor="text1"/>
                <w:spacing w:val="-3"/>
                <w:sz w:val="24"/>
                <w:szCs w:val="24"/>
                <w:highlight w:val="none"/>
                <w14:textFill>
                  <w14:solidFill>
                    <w14:schemeClr w14:val="tx1"/>
                  </w14:solidFill>
                </w14:textFill>
              </w:rPr>
              <w:t>估</w:t>
            </w:r>
            <w:r>
              <w:rPr>
                <w:rFonts w:hint="default" w:ascii="Times New Roman" w:hAnsi="Times New Roman" w:eastAsia="仿宋_GB2312" w:cs="Times New Roman"/>
                <w:b/>
                <w:color w:val="000000" w:themeColor="text1"/>
                <w:spacing w:val="-2"/>
                <w:sz w:val="24"/>
                <w:szCs w:val="24"/>
                <w:highlight w:val="none"/>
                <w14:textFill>
                  <w14:solidFill>
                    <w14:schemeClr w14:val="tx1"/>
                  </w14:solidFill>
                </w14:textFill>
              </w:rPr>
              <w:t>值报告</w:t>
            </w:r>
            <w:r>
              <w:rPr>
                <w:rFonts w:hint="default" w:ascii="Times New Roman" w:hAnsi="Times New Roman" w:eastAsia="仿宋_GB2312" w:cs="Times New Roman"/>
                <w:b/>
                <w:color w:val="000000" w:themeColor="text1"/>
                <w:spacing w:val="-4"/>
                <w:sz w:val="24"/>
                <w:szCs w:val="24"/>
                <w:highlight w:val="none"/>
                <w14:textFill>
                  <w14:solidFill>
                    <w14:schemeClr w14:val="tx1"/>
                  </w14:solidFill>
                </w14:textFill>
              </w:rPr>
              <w:t>结果</w:t>
            </w:r>
            <w:r>
              <w:rPr>
                <w:rFonts w:hint="default" w:ascii="Times New Roman" w:hAnsi="Times New Roman" w:eastAsia="仿宋_GB2312" w:cs="Times New Roman"/>
                <w:b/>
                <w:color w:val="000000" w:themeColor="text1"/>
                <w:spacing w:val="-3"/>
                <w:sz w:val="24"/>
                <w:szCs w:val="24"/>
                <w:highlight w:val="none"/>
                <w14:textFill>
                  <w14:solidFill>
                    <w14:schemeClr w14:val="tx1"/>
                  </w14:solidFill>
                </w14:textFill>
              </w:rPr>
              <w:t>作</w:t>
            </w:r>
            <w:r>
              <w:rPr>
                <w:rFonts w:hint="default" w:ascii="Times New Roman" w:hAnsi="Times New Roman" w:eastAsia="仿宋_GB2312" w:cs="Times New Roman"/>
                <w:b/>
                <w:color w:val="000000" w:themeColor="text1"/>
                <w:spacing w:val="-2"/>
                <w:sz w:val="24"/>
                <w:szCs w:val="24"/>
                <w:highlight w:val="none"/>
                <w14:textFill>
                  <w14:solidFill>
                    <w14:schemeClr w14:val="tx1"/>
                  </w14:solidFill>
                </w14:textFill>
              </w:rPr>
              <w:t>为定价</w:t>
            </w:r>
            <w:r>
              <w:rPr>
                <w:rFonts w:hint="default" w:ascii="Times New Roman" w:hAnsi="Times New Roman" w:eastAsia="仿宋_GB2312" w:cs="Times New Roman"/>
                <w:b/>
                <w:color w:val="000000" w:themeColor="text1"/>
                <w:spacing w:val="-5"/>
                <w:sz w:val="24"/>
                <w:szCs w:val="24"/>
                <w:highlight w:val="none"/>
                <w14:textFill>
                  <w14:solidFill>
                    <w14:schemeClr w14:val="tx1"/>
                  </w14:solidFill>
                </w14:textFill>
              </w:rPr>
              <w:t>依</w:t>
            </w:r>
            <w:r>
              <w:rPr>
                <w:rFonts w:hint="default" w:ascii="Times New Roman" w:hAnsi="Times New Roman" w:eastAsia="仿宋_GB2312" w:cs="Times New Roman"/>
                <w:b/>
                <w:color w:val="000000" w:themeColor="text1"/>
                <w:spacing w:val="-4"/>
                <w:sz w:val="24"/>
                <w:szCs w:val="24"/>
                <w:highlight w:val="none"/>
                <w14:textFill>
                  <w14:solidFill>
                    <w14:schemeClr w14:val="tx1"/>
                  </w14:solidFill>
                </w14:textFill>
              </w:rPr>
              <w:t>据</w:t>
            </w:r>
          </w:p>
        </w:tc>
        <w:tc>
          <w:tcPr>
            <w:tcW w:w="4909" w:type="dxa"/>
            <w:noWrap/>
          </w:tcPr>
          <w:p w14:paraId="3AFF5FB1">
            <w:pPr>
              <w:ind w:firstLine="480" w:firstLineChars="200"/>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上市公司应当在重组报告书中披露：</w:t>
            </w:r>
          </w:p>
          <w:p w14:paraId="4A40B00E">
            <w:pPr>
              <w:ind w:firstLine="480" w:firstLineChars="200"/>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1）评估或估值的基本情况（包括账面价值、所采用的评估或估值方法、评估或估值结果、增减值幅度等），分析评估或估值增减值主要原因、不同评估或估值方法的评估或估值结果的差异及其原因、最终确定评估或估值结论的理由；如仅采用一种评估或估值方法，披露相关原因以及评估或估值方法的适用性、与标的资产相关特征的匹配性；</w:t>
            </w:r>
          </w:p>
          <w:p w14:paraId="1D8A60D8">
            <w:pPr>
              <w:ind w:firstLine="480" w:firstLineChars="200"/>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（2）对评估或估值结论有重要影响的评估或估值假设，如宏观和外部环境假设及根据交易标的自身情况所采用的特定假设等；</w:t>
            </w:r>
          </w:p>
          <w:p w14:paraId="1A8C551F">
            <w:pPr>
              <w:ind w:firstLine="480" w:firstLineChars="200"/>
              <w:rPr>
                <w:rFonts w:hint="default" w:ascii="Times New Roman" w:hAnsi="Times New Roman" w:eastAsia="仿宋_GB2312" w:cs="Times New Roman"/>
                <w:color w:val="000000" w:themeColor="text1"/>
                <w:spacing w:val="-15"/>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3）存在评估或估值特殊处理、对评估或估值结论有重大影响事项，应当进行说明并分析其对评估或估值结论的影响。存在前述情况或因评估或估值程序受限造成评估报告或估值报告使用受限的，应当提请报告使用者关注。</w:t>
            </w:r>
          </w:p>
        </w:tc>
        <w:tc>
          <w:tcPr>
            <w:tcW w:w="5184" w:type="dxa"/>
            <w:noWrap/>
          </w:tcPr>
          <w:p w14:paraId="0556A719">
            <w:pPr>
              <w:ind w:firstLine="480" w:firstLineChars="200"/>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独立财务顾问应对以下事项进行核查，并在《独立财务顾问报告》中发表明确核查意见：</w:t>
            </w:r>
          </w:p>
          <w:p w14:paraId="4A707823">
            <w:pPr>
              <w:ind w:firstLine="480" w:firstLineChars="200"/>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1）评估或估值的基本情况（包括账面价值、所采用的评估或估值方法、评估或估值结果、增减值幅度等），并结合不同评估或估值结果的差异情况、差异原因、业绩承诺及业绩补偿安排设置等因素，对本次最终确定评估或估值结论的原因及合理性进行审慎核查；如仅采用一种评估或估值方法，核查相关情况合理性、评估或估值方法的适用性、与标的资产相关特征的匹配性；</w:t>
            </w:r>
          </w:p>
          <w:p w14:paraId="1FC6A104">
            <w:pPr>
              <w:ind w:firstLine="480" w:firstLineChars="200"/>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（2）对评估或估值结论有重要影响的评估或估值假设合理性，如宏观和外部环境假设及根据交易标的自身情况所采用的特定假设等</w:t>
            </w:r>
            <w:r>
              <w:rPr>
                <w:rFonts w:hint="eastAsia" w:ascii="Times New Roman" w:hAnsi="Times New Roman" w:eastAsia="仿宋_GB2312" w:cs="Times New Roman"/>
                <w:bCs/>
                <w:color w:val="000000" w:themeColor="text1"/>
                <w:sz w:val="24"/>
                <w:szCs w:val="24"/>
                <w:highlight w:val="none"/>
                <w:lang w:eastAsia="zh-CN"/>
                <w14:textFill>
                  <w14:solidFill>
                    <w14:schemeClr w14:val="tx1"/>
                  </w14:solidFill>
                </w14:textFill>
              </w:rPr>
              <w:t>；</w:t>
            </w:r>
          </w:p>
          <w:p w14:paraId="61C3D03E">
            <w:pPr>
              <w:ind w:firstLine="480" w:firstLineChars="200"/>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（3）存在评估或估值特殊处理、对评估或估值结论有重大影响的事项，核查相关事项是否存在较大不确定性及其对评估或估值结论的影响，对评估或估值结论的审慎性发表明确意见。</w:t>
            </w:r>
          </w:p>
          <w:p w14:paraId="2181BBA7">
            <w:pPr>
              <w:ind w:firstLine="480" w:firstLineChars="200"/>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评估师应对上述事项进行核查，并发表明确核查意见。</w:t>
            </w:r>
          </w:p>
        </w:tc>
        <w:tc>
          <w:tcPr>
            <w:tcW w:w="1678" w:type="dxa"/>
            <w:noWrap/>
          </w:tcPr>
          <w:p w14:paraId="283B5E97">
            <w:pPr>
              <w:rPr>
                <w:rFonts w:hint="default" w:ascii="Times New Roman" w:hAnsi="Times New Roman" w:cs="Times New Roman"/>
                <w:highlight w:val="none"/>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《重组办法》第二十条，《26号格式准则》第二十四条</w:t>
            </w:r>
          </w:p>
        </w:tc>
      </w:tr>
      <w:tr w14:paraId="7C41F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noWrap/>
            <w:vAlign w:val="center"/>
          </w:tcPr>
          <w:p w14:paraId="3F7BAEC5">
            <w:pPr>
              <w:jc w:val="center"/>
              <w:rPr>
                <w:rFonts w:hint="default" w:ascii="Times New Roman" w:hAnsi="Times New Roman" w:eastAsia="仿宋_GB2312" w:cs="Times New Roman"/>
                <w:b/>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
                <w:color w:val="000000" w:themeColor="text1"/>
                <w:spacing w:val="-8"/>
                <w:sz w:val="24"/>
                <w:szCs w:val="24"/>
                <w:highlight w:val="none"/>
                <w14:textFill>
                  <w14:solidFill>
                    <w14:schemeClr w14:val="tx1"/>
                  </w14:solidFill>
                </w14:textFill>
              </w:rPr>
              <w:t>3-2</w:t>
            </w:r>
          </w:p>
        </w:tc>
        <w:tc>
          <w:tcPr>
            <w:tcW w:w="1389" w:type="dxa"/>
            <w:noWrap/>
            <w:vAlign w:val="center"/>
          </w:tcPr>
          <w:p w14:paraId="26EF38F5">
            <w:pPr>
              <w:rPr>
                <w:rFonts w:hint="default" w:ascii="Times New Roman" w:hAnsi="Times New Roman" w:eastAsia="仿宋_GB2312" w:cs="Times New Roman"/>
                <w:b/>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
                <w:color w:val="000000" w:themeColor="text1"/>
                <w:spacing w:val="-3"/>
                <w:sz w:val="24"/>
                <w:szCs w:val="24"/>
                <w:highlight w:val="none"/>
                <w14:textFill>
                  <w14:solidFill>
                    <w14:schemeClr w14:val="tx1"/>
                  </w14:solidFill>
                </w14:textFill>
              </w:rPr>
              <w:t>以</w:t>
            </w:r>
            <w:r>
              <w:rPr>
                <w:rFonts w:hint="default" w:ascii="Times New Roman" w:hAnsi="Times New Roman" w:eastAsia="仿宋_GB2312" w:cs="Times New Roman"/>
                <w:b/>
                <w:color w:val="000000" w:themeColor="text1"/>
                <w:spacing w:val="-2"/>
                <w:sz w:val="24"/>
                <w:szCs w:val="24"/>
                <w:highlight w:val="none"/>
                <w14:textFill>
                  <w14:solidFill>
                    <w14:schemeClr w14:val="tx1"/>
                  </w14:solidFill>
                </w14:textFill>
              </w:rPr>
              <w:t>收益法</w:t>
            </w:r>
            <w:r>
              <w:rPr>
                <w:rFonts w:hint="default" w:ascii="Times New Roman" w:hAnsi="Times New Roman" w:eastAsia="仿宋_GB2312" w:cs="Times New Roman"/>
                <w:b/>
                <w:color w:val="000000" w:themeColor="text1"/>
                <w:spacing w:val="-4"/>
                <w:sz w:val="24"/>
                <w:szCs w:val="24"/>
                <w:highlight w:val="none"/>
                <w14:textFill>
                  <w14:solidFill>
                    <w14:schemeClr w14:val="tx1"/>
                  </w14:solidFill>
                </w14:textFill>
              </w:rPr>
              <w:t>评估</w:t>
            </w:r>
            <w:r>
              <w:rPr>
                <w:rFonts w:hint="default" w:ascii="Times New Roman" w:hAnsi="Times New Roman" w:eastAsia="仿宋_GB2312" w:cs="Times New Roman"/>
                <w:b/>
                <w:color w:val="000000" w:themeColor="text1"/>
                <w:spacing w:val="-3"/>
                <w:sz w:val="24"/>
                <w:szCs w:val="24"/>
                <w:highlight w:val="none"/>
                <w14:textFill>
                  <w14:solidFill>
                    <w14:schemeClr w14:val="tx1"/>
                  </w14:solidFill>
                </w14:textFill>
              </w:rPr>
              <w:t>结</w:t>
            </w:r>
            <w:r>
              <w:rPr>
                <w:rFonts w:hint="default" w:ascii="Times New Roman" w:hAnsi="Times New Roman" w:eastAsia="仿宋_GB2312" w:cs="Times New Roman"/>
                <w:b/>
                <w:color w:val="000000" w:themeColor="text1"/>
                <w:spacing w:val="-2"/>
                <w:sz w:val="24"/>
                <w:szCs w:val="24"/>
                <w:highlight w:val="none"/>
                <w14:textFill>
                  <w14:solidFill>
                    <w14:schemeClr w14:val="tx1"/>
                  </w14:solidFill>
                </w14:textFill>
              </w:rPr>
              <w:t>果作为</w:t>
            </w:r>
            <w:r>
              <w:rPr>
                <w:rFonts w:hint="default" w:ascii="Times New Roman" w:hAnsi="Times New Roman" w:eastAsia="仿宋_GB2312" w:cs="Times New Roman"/>
                <w:b/>
                <w:color w:val="000000" w:themeColor="text1"/>
                <w:spacing w:val="-4"/>
                <w:sz w:val="24"/>
                <w:szCs w:val="24"/>
                <w:highlight w:val="none"/>
                <w14:textFill>
                  <w14:solidFill>
                    <w14:schemeClr w14:val="tx1"/>
                  </w14:solidFill>
                </w14:textFill>
              </w:rPr>
              <w:t>定</w:t>
            </w:r>
            <w:r>
              <w:rPr>
                <w:rFonts w:hint="default" w:ascii="Times New Roman" w:hAnsi="Times New Roman" w:eastAsia="仿宋_GB2312" w:cs="Times New Roman"/>
                <w:b/>
                <w:color w:val="000000" w:themeColor="text1"/>
                <w:spacing w:val="-3"/>
                <w:sz w:val="24"/>
                <w:szCs w:val="24"/>
                <w:highlight w:val="none"/>
                <w14:textFill>
                  <w14:solidFill>
                    <w14:schemeClr w14:val="tx1"/>
                  </w14:solidFill>
                </w14:textFill>
              </w:rPr>
              <w:t>价依据</w:t>
            </w:r>
          </w:p>
        </w:tc>
        <w:tc>
          <w:tcPr>
            <w:tcW w:w="4909" w:type="dxa"/>
            <w:noWrap/>
          </w:tcPr>
          <w:p w14:paraId="775C7492">
            <w:pPr>
              <w:ind w:firstLine="480" w:firstLineChars="200"/>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上市公司应在重组报告书中披露收益法评估的具体模型、未来预期收益现金流、折现率确定方法、评估或估值测算过程，非经营性和溢余资产的分析与确认等信息。主要包括：</w:t>
            </w:r>
          </w:p>
          <w:p w14:paraId="1A676351">
            <w:pPr>
              <w:ind w:firstLine="480" w:firstLineChars="200"/>
              <w:rPr>
                <w:rFonts w:hint="default" w:ascii="Times New Roman" w:hAnsi="Times New Roman" w:cs="Times New Roman"/>
                <w:highlight w:val="none"/>
              </w:rPr>
            </w:pPr>
            <w:r>
              <w:rPr>
                <w:rFonts w:hint="default" w:ascii="Times New Roman" w:hAnsi="Times New Roman" w:eastAsia="仿宋_GB2312" w:cs="Times New Roman"/>
                <w:bCs/>
                <w:sz w:val="24"/>
                <w:szCs w:val="24"/>
                <w:highlight w:val="none"/>
              </w:rPr>
              <w:t>（1）评估或估值测算时涉及的主要财务数据的预测表格，包括：未来收益现金流量测算表、营业收入预测表、营业成本预测表、销售费用预测表、管理费用预测表、营运资金预测表、折旧摊销预测表、资本性支出预测表等，并结合主要参数的预测过程</w:t>
            </w: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w:t>
            </w:r>
            <w:r>
              <w:rPr>
                <w:rFonts w:hint="default" w:ascii="Times New Roman" w:hAnsi="Times New Roman" w:eastAsia="仿宋_GB2312" w:cs="Times New Roman"/>
                <w:bCs/>
                <w:sz w:val="24"/>
                <w:szCs w:val="24"/>
                <w:highlight w:val="none"/>
              </w:rPr>
              <w:t>披露有利于投资者作出投资决策和价值判断的重要信息</w:t>
            </w:r>
            <w:r>
              <w:rPr>
                <w:rFonts w:hint="eastAsia" w:ascii="Times New Roman" w:hAnsi="Times New Roman" w:eastAsia="仿宋_GB2312" w:cs="Times New Roman"/>
                <w:bCs/>
                <w:sz w:val="24"/>
                <w:szCs w:val="24"/>
                <w:highlight w:val="none"/>
                <w:lang w:eastAsia="zh-CN"/>
              </w:rPr>
              <w:t>；</w:t>
            </w:r>
          </w:p>
          <w:p w14:paraId="39A67F98">
            <w:pPr>
              <w:ind w:firstLine="480" w:firstLineChars="200"/>
              <w:rPr>
                <w:rFonts w:hint="default" w:ascii="Times New Roman" w:hAnsi="Times New Roman" w:eastAsia="仿宋_GB2312" w:cs="Times New Roman"/>
                <w:bCs/>
                <w:strike/>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（2）逐项披露重要评估或估值参数（如收入、毛利率及其变动等）的预测依据及合理性。对于预测期内预测数据发生较大变化，或者与报告期、同行业可比公司存在较大差异的，应逐项分析差异原因及合理性；</w:t>
            </w:r>
          </w:p>
          <w:p w14:paraId="0BD35D01">
            <w:pPr>
              <w:ind w:firstLine="480" w:firstLineChars="200"/>
              <w:rPr>
                <w:rFonts w:hint="default" w:ascii="Times New Roman" w:hAnsi="Times New Roman" w:eastAsia="仿宋_GB2312" w:cs="Times New Roman"/>
                <w:bCs/>
                <w:color w:val="000000" w:themeColor="text1"/>
                <w:sz w:val="24"/>
                <w:szCs w:val="24"/>
                <w:highlight w:val="none"/>
                <w:lang w:val="en-US" w:eastAsia="zh-CN"/>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（3）结合报告期及未来财务预测的相关情况（包括各产品产销量、销售价格、毛利率、净利润等）、所处行业地位、行业发展趋势、行业竞争及经营情况等，详细说明评估或估值依据的合理性；</w:t>
            </w:r>
          </w:p>
          <w:p w14:paraId="5C88BAA8">
            <w:pPr>
              <w:ind w:firstLine="480" w:firstLineChars="200"/>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（4）折现率计算过程中主要参数的取值依据及合理性；</w:t>
            </w:r>
          </w:p>
          <w:p w14:paraId="69536F5D">
            <w:pPr>
              <w:ind w:firstLine="480" w:firstLineChars="200"/>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（5）结合标的资产经营模式，分析报告期变动频繁且影响较大的指标（如成本、价格、销量、毛利率等方面）对评估或估值的影响，并进行敏感性分析；</w:t>
            </w:r>
          </w:p>
          <w:p w14:paraId="0782B482">
            <w:pPr>
              <w:ind w:firstLine="480" w:firstLineChars="200"/>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sz w:val="24"/>
                <w:szCs w:val="24"/>
                <w:highlight w:val="none"/>
              </w:rPr>
              <w:t>（6）本次交易配套募集资金用于标的资产的，收益法</w:t>
            </w: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评估的</w:t>
            </w:r>
            <w:r>
              <w:rPr>
                <w:rFonts w:hint="default" w:ascii="Times New Roman" w:hAnsi="Times New Roman" w:eastAsia="仿宋_GB2312" w:cs="Times New Roman"/>
                <w:bCs/>
                <w:sz w:val="24"/>
                <w:szCs w:val="24"/>
                <w:highlight w:val="none"/>
              </w:rPr>
              <w:t>预测现金流中是否包含了募集配套资金投入带来的收益。</w:t>
            </w:r>
          </w:p>
          <w:p w14:paraId="00E193B3">
            <w:pPr>
              <w:ind w:firstLine="480" w:firstLineChars="200"/>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p>
        </w:tc>
        <w:tc>
          <w:tcPr>
            <w:tcW w:w="5184" w:type="dxa"/>
            <w:noWrap/>
          </w:tcPr>
          <w:p w14:paraId="4AC0F14C">
            <w:pPr>
              <w:ind w:firstLine="480" w:firstLineChars="200"/>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独立财务顾问应对以下事项进行核查，并在《独立财务顾问报告》中发表明确核查意见：</w:t>
            </w:r>
          </w:p>
          <w:p w14:paraId="6CF9BACD">
            <w:pPr>
              <w:ind w:firstLine="480" w:firstLineChars="200"/>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（1）核查并说明销售单价预测的合理性：结合标的资产主要核心产品所处生命周期、可替代性、市场竞争程度、报告期内售价水平、可比产品售价水平等，核查并说明预测期各期销售单价变动的合理性；</w:t>
            </w:r>
          </w:p>
          <w:p w14:paraId="42E37DF7">
            <w:pPr>
              <w:ind w:firstLine="480" w:firstLineChars="200"/>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2）核查并说明销售数量预测的合理性：结合标的资产主要产品或所处行业未来年度市场容量发展情况、标的资产所处的行业地位、现有客户关系维护及未来年度需求增长情况、新客户拓展、现有合同签订情况等，核查并说明预测期内各期销售数量的合理性及可实现性；结合标的资产的现有产能和产能利用率、未来年度产能扩张计划等，核查并说明预测期内销售数量与产能水平的匹配性；</w:t>
            </w: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ab/>
            </w:r>
          </w:p>
          <w:p w14:paraId="1BCB8EC3">
            <w:pPr>
              <w:ind w:firstLine="480" w:firstLineChars="200"/>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（3）核查并说明营业成本预测的合理性：结合报告期内原材料的采购来源、原材料价格波动情况、市场供需情况、与原材料主要供应商的关系稳定性等，核查并说明预测期内营业成本预测的合理性；</w:t>
            </w:r>
          </w:p>
          <w:p w14:paraId="41B8B7F2">
            <w:pPr>
              <w:ind w:firstLine="480" w:firstLineChars="200"/>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4）核查并说明毛利率预测的合理性：结合标的资产各主要产品报告期内毛利率水平、标的资产的核心竞争优势、原材料成本的预测情况、可比公司可比产品的毛利率情况，市场竞争程度、产品的可替代性、行业进入壁垒情况等，核查并说明预测期内毛利率水平预测依据及合理性；</w:t>
            </w:r>
          </w:p>
          <w:p w14:paraId="7B50D84F">
            <w:pPr>
              <w:ind w:firstLine="480" w:firstLineChars="200"/>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5）核查并说明期间费用预测的合理性：结合销售费用率、管理费用率与研发费用率（如有）水平、构成情况及其与报告期内的差异情况等，核查并说明销售费用、管理费用及研发费用（如有）中的重要构成项目的预测依据是否充分、合理，是否与预测期内业务增长情况相匹配；</w:t>
            </w:r>
          </w:p>
          <w:p w14:paraId="2B54944E">
            <w:pPr>
              <w:ind w:firstLine="480" w:firstLineChars="200"/>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（6）核查并说明营运资金增加额预测的合理性：核查并说明营运资金增加额的计算过程，是否与标的资产未来年度的业务发展情况相匹配；</w:t>
            </w:r>
          </w:p>
          <w:p w14:paraId="2A393AC4">
            <w:pPr>
              <w:ind w:firstLine="480" w:firstLineChars="200"/>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（7）核查并说明资本性支出预测的合理性：结合标的资产现有主要设备的成新率情况、未来厂房及产能扩建及更新计划等，核查并说明预测期内资本性支出预测的合理性；</w:t>
            </w:r>
          </w:p>
          <w:p w14:paraId="1F7F3345">
            <w:pPr>
              <w:ind w:firstLine="480" w:firstLineChars="200"/>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（8）核查并说明折现率预测的合理性：结合折现率计算过程中主要参数的取值依据及合理性，核查并说明相关参数是否反映了标的资产所处行业的特定风险及自身财务风险水平，折现率取值是否合理；</w:t>
            </w:r>
          </w:p>
          <w:p w14:paraId="6A278920">
            <w:pPr>
              <w:ind w:firstLine="480" w:firstLineChars="200"/>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9）核查并说明预测期期限的合理性：结合详细预测期期限及预测期内各年经营业绩增速情况等，核查并说明是否存在为提高估值水平而刻意延长详细评估期间的情况，如存在详细评估期限较长的，核查并说明详细评估期较长的原因及合理性，是否符合谨慎性原则；</w:t>
            </w:r>
          </w:p>
          <w:p w14:paraId="162FBA5F">
            <w:pPr>
              <w:ind w:firstLine="480" w:firstLineChars="200"/>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10）预测数据是否与标的资产所在行业发展趋势、报告期内业务发展情况、未来年度业务发展预期、核心竞争优势等保持一致，对于预测期内主要财务数据（如收入、毛利率等）发生较大变化，与行业变动趋势、标的资产报告期、同行业可比公司数据存在较大差异的，核查预测依据的充分性；</w:t>
            </w:r>
          </w:p>
          <w:p w14:paraId="7F946F59">
            <w:pPr>
              <w:ind w:firstLine="480" w:firstLineChars="200"/>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（11）不同参数在样本选取、风险考量、参数匹配等方面是否保持一致性，相关参数的选取和披露是否符合《监管规则适用指引——评估类第1号》的要求</w:t>
            </w:r>
            <w:r>
              <w:rPr>
                <w:rFonts w:hint="eastAsia" w:ascii="Times New Roman" w:hAnsi="Times New Roman" w:eastAsia="仿宋_GB2312" w:cs="Times New Roman"/>
                <w:bCs/>
                <w:color w:val="000000" w:themeColor="text1"/>
                <w:sz w:val="24"/>
                <w:szCs w:val="24"/>
                <w:highlight w:val="none"/>
                <w:lang w:eastAsia="zh-CN"/>
                <w14:textFill>
                  <w14:solidFill>
                    <w14:schemeClr w14:val="tx1"/>
                  </w14:solidFill>
                </w14:textFill>
              </w:rPr>
              <w:t>；</w:t>
            </w:r>
          </w:p>
          <w:p w14:paraId="5A8C87CE">
            <w:pPr>
              <w:ind w:firstLine="480" w:firstLineChars="200"/>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12）本次交易评估作价或业绩承诺是否包含募投项目收益。如是，核查并测算募投项目未来预计收益及对业绩承诺的影响，并结合募投项目的收益占比、对本次交易作价的影响等，审慎对交易作价中包含募投项目收益安排是否有利于保护上市公司及中小股东利益发表明确意见；如否，核查并说明区分募投项目收益的具体措施及有效性。</w:t>
            </w:r>
          </w:p>
          <w:p w14:paraId="5EE7FB34">
            <w:pPr>
              <w:ind w:firstLine="480" w:firstLineChars="200"/>
              <w:rPr>
                <w:rFonts w:hint="default" w:ascii="Times New Roman" w:hAnsi="Times New Roman" w:eastAsia="仿宋_GB2312" w:cs="Times New Roman"/>
                <w:b/>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评估师应对上述事项进行核查，并发表明确核查意见。</w:t>
            </w:r>
          </w:p>
        </w:tc>
        <w:tc>
          <w:tcPr>
            <w:tcW w:w="1678" w:type="dxa"/>
            <w:noWrap/>
            <w:vAlign w:val="center"/>
          </w:tcPr>
          <w:p w14:paraId="7B863F16">
            <w:pPr>
              <w:rPr>
                <w:rFonts w:hint="default" w:ascii="Times New Roman" w:hAnsi="Times New Roman" w:cs="Times New Roman"/>
                <w:highlight w:val="none"/>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《重组办法》第二十条</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《26号格式准则》第二十四条、第二十五条、</w:t>
            </w:r>
            <w:r>
              <w:rPr>
                <w:rFonts w:hint="default" w:ascii="Times New Roman" w:hAnsi="Times New Roman" w:eastAsia="仿宋_GB2312" w:cs="Times New Roman"/>
                <w:bCs/>
                <w:sz w:val="24"/>
                <w:szCs w:val="24"/>
                <w:highlight w:val="none"/>
              </w:rPr>
              <w:t>第六十四条</w:t>
            </w:r>
          </w:p>
          <w:p w14:paraId="67658421">
            <w:pPr>
              <w:rPr>
                <w:rFonts w:hint="default" w:ascii="Times New Roman" w:hAnsi="Times New Roman" w:cs="Times New Roman"/>
                <w:highlight w:val="none"/>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，《监管规则适用指引——评估类第1号》，《会计监管风险提示第5号——上市公司股权交易资产评估》</w:t>
            </w:r>
          </w:p>
        </w:tc>
      </w:tr>
      <w:tr w14:paraId="40EA8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noWrap/>
            <w:vAlign w:val="center"/>
          </w:tcPr>
          <w:p w14:paraId="3DC2A101">
            <w:pPr>
              <w:jc w:val="center"/>
              <w:rPr>
                <w:rFonts w:hint="default" w:ascii="Times New Roman" w:hAnsi="Times New Roman" w:eastAsia="仿宋_GB2312" w:cs="Times New Roman"/>
                <w:b/>
                <w:color w:val="000000" w:themeColor="text1"/>
                <w:spacing w:val="-8"/>
                <w:sz w:val="24"/>
                <w:szCs w:val="24"/>
                <w:highlight w:val="none"/>
                <w14:textFill>
                  <w14:solidFill>
                    <w14:schemeClr w14:val="tx1"/>
                  </w14:solidFill>
                </w14:textFill>
              </w:rPr>
            </w:pPr>
            <w:r>
              <w:rPr>
                <w:rFonts w:hint="default" w:ascii="Times New Roman" w:hAnsi="Times New Roman" w:eastAsia="仿宋_GB2312" w:cs="Times New Roman"/>
                <w:b/>
                <w:color w:val="000000" w:themeColor="text1"/>
                <w:spacing w:val="-8"/>
                <w:sz w:val="24"/>
                <w:szCs w:val="24"/>
                <w:highlight w:val="none"/>
                <w14:textFill>
                  <w14:solidFill>
                    <w14:schemeClr w14:val="tx1"/>
                  </w14:solidFill>
                </w14:textFill>
              </w:rPr>
              <w:t>3-3</w:t>
            </w:r>
          </w:p>
        </w:tc>
        <w:tc>
          <w:tcPr>
            <w:tcW w:w="1389" w:type="dxa"/>
            <w:noWrap/>
            <w:vAlign w:val="center"/>
          </w:tcPr>
          <w:p w14:paraId="2A97D69A">
            <w:pPr>
              <w:rPr>
                <w:rFonts w:hint="default" w:ascii="Times New Roman" w:hAnsi="Times New Roman" w:eastAsia="仿宋_GB2312" w:cs="Times New Roman"/>
                <w:b/>
                <w:color w:val="000000" w:themeColor="text1"/>
                <w:spacing w:val="-4"/>
                <w:sz w:val="24"/>
                <w:szCs w:val="24"/>
                <w:highlight w:val="none"/>
                <w14:textFill>
                  <w14:solidFill>
                    <w14:schemeClr w14:val="tx1"/>
                  </w14:solidFill>
                </w14:textFill>
              </w:rPr>
            </w:pPr>
            <w:r>
              <w:rPr>
                <w:rFonts w:hint="default" w:ascii="Times New Roman" w:hAnsi="Times New Roman" w:eastAsia="仿宋_GB2312" w:cs="Times New Roman"/>
                <w:b/>
                <w:color w:val="000000" w:themeColor="text1"/>
                <w:spacing w:val="-6"/>
                <w:sz w:val="24"/>
                <w:szCs w:val="24"/>
                <w:highlight w:val="none"/>
                <w14:textFill>
                  <w14:solidFill>
                    <w14:schemeClr w14:val="tx1"/>
                  </w14:solidFill>
                </w14:textFill>
              </w:rPr>
              <w:t>以</w:t>
            </w:r>
            <w:r>
              <w:rPr>
                <w:rFonts w:hint="default" w:ascii="Times New Roman" w:hAnsi="Times New Roman" w:eastAsia="仿宋_GB2312" w:cs="Times New Roman"/>
                <w:b/>
                <w:color w:val="000000" w:themeColor="text1"/>
                <w:spacing w:val="-3"/>
                <w:sz w:val="24"/>
                <w:szCs w:val="24"/>
                <w:highlight w:val="none"/>
                <w14:textFill>
                  <w14:solidFill>
                    <w14:schemeClr w14:val="tx1"/>
                  </w14:solidFill>
                </w14:textFill>
              </w:rPr>
              <w:t>市场法评估</w:t>
            </w:r>
            <w:r>
              <w:rPr>
                <w:rFonts w:hint="default" w:ascii="Times New Roman" w:hAnsi="Times New Roman" w:eastAsia="仿宋_GB2312" w:cs="Times New Roman"/>
                <w:b/>
                <w:color w:val="000000" w:themeColor="text1"/>
                <w:spacing w:val="-6"/>
                <w:sz w:val="24"/>
                <w:szCs w:val="24"/>
                <w:highlight w:val="none"/>
                <w14:textFill>
                  <w14:solidFill>
                    <w14:schemeClr w14:val="tx1"/>
                  </w14:solidFill>
                </w14:textFill>
              </w:rPr>
              <w:t>结</w:t>
            </w:r>
            <w:r>
              <w:rPr>
                <w:rFonts w:hint="default" w:ascii="Times New Roman" w:hAnsi="Times New Roman" w:eastAsia="仿宋_GB2312" w:cs="Times New Roman"/>
                <w:b/>
                <w:color w:val="000000" w:themeColor="text1"/>
                <w:spacing w:val="-3"/>
                <w:sz w:val="24"/>
                <w:szCs w:val="24"/>
                <w:highlight w:val="none"/>
                <w14:textFill>
                  <w14:solidFill>
                    <w14:schemeClr w14:val="tx1"/>
                  </w14:solidFill>
                </w14:textFill>
              </w:rPr>
              <w:t>果作为定价</w:t>
            </w:r>
            <w:r>
              <w:rPr>
                <w:rFonts w:hint="default" w:ascii="Times New Roman" w:hAnsi="Times New Roman" w:eastAsia="仿宋_GB2312" w:cs="Times New Roman"/>
                <w:b/>
                <w:color w:val="000000" w:themeColor="text1"/>
                <w:spacing w:val="-5"/>
                <w:sz w:val="24"/>
                <w:szCs w:val="24"/>
                <w:highlight w:val="none"/>
                <w14:textFill>
                  <w14:solidFill>
                    <w14:schemeClr w14:val="tx1"/>
                  </w14:solidFill>
                </w14:textFill>
              </w:rPr>
              <w:t>依</w:t>
            </w:r>
            <w:r>
              <w:rPr>
                <w:rFonts w:hint="default" w:ascii="Times New Roman" w:hAnsi="Times New Roman" w:eastAsia="仿宋_GB2312" w:cs="Times New Roman"/>
                <w:b/>
                <w:color w:val="000000" w:themeColor="text1"/>
                <w:spacing w:val="-4"/>
                <w:sz w:val="24"/>
                <w:szCs w:val="24"/>
                <w:highlight w:val="none"/>
                <w14:textFill>
                  <w14:solidFill>
                    <w14:schemeClr w14:val="tx1"/>
                  </w14:solidFill>
                </w14:textFill>
              </w:rPr>
              <w:t>据</w:t>
            </w:r>
          </w:p>
        </w:tc>
        <w:tc>
          <w:tcPr>
            <w:tcW w:w="4909" w:type="dxa"/>
            <w:noWrap/>
          </w:tcPr>
          <w:p w14:paraId="53E7CD3A">
            <w:pPr>
              <w:ind w:firstLine="480" w:firstLineChars="200"/>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上市公司应当在重组报告书中披露：</w:t>
            </w:r>
          </w:p>
          <w:p w14:paraId="162E3178">
            <w:pPr>
              <w:ind w:firstLine="480" w:firstLineChars="200"/>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（1）市场法评估具体模型、价值比率的选取及理由；</w:t>
            </w:r>
          </w:p>
          <w:p w14:paraId="58DC3952">
            <w:pPr>
              <w:ind w:firstLine="480" w:firstLineChars="200"/>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（2）可比对象或可比案例的选取原则，具体包括：可比交易案例的选择标准、案例来源、可比交易的目的、交易时间、交易股权比例等；</w:t>
            </w:r>
          </w:p>
          <w:p w14:paraId="77DCC964">
            <w:pPr>
              <w:ind w:firstLine="480" w:firstLineChars="200"/>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（3）调整因素和流动性折扣的取值依据等。</w:t>
            </w:r>
          </w:p>
        </w:tc>
        <w:tc>
          <w:tcPr>
            <w:tcW w:w="5184" w:type="dxa"/>
            <w:noWrap/>
          </w:tcPr>
          <w:p w14:paraId="77689133">
            <w:pPr>
              <w:ind w:firstLine="480" w:firstLineChars="200"/>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独立财务顾问应对以下事项进行核查，并在《独立财务顾问报告》中发表明确核查意见：</w:t>
            </w:r>
          </w:p>
          <w:p w14:paraId="6203D68B">
            <w:pPr>
              <w:ind w:firstLine="480" w:firstLineChars="200"/>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（1）核查并说明本次交易中市场法具体评估模型、价值比率的</w:t>
            </w:r>
            <w:r>
              <w:rPr>
                <w:rFonts w:hint="default" w:ascii="Times New Roman" w:hAnsi="Times New Roman" w:eastAsia="仿宋_GB2312" w:cs="Times New Roman"/>
                <w:bCs/>
                <w:color w:val="000000" w:themeColor="text1"/>
                <w:sz w:val="24"/>
                <w:szCs w:val="24"/>
                <w:highlight w:val="none"/>
                <w:lang w:eastAsia="zh-CN"/>
                <w14:textFill>
                  <w14:solidFill>
                    <w14:schemeClr w14:val="tx1"/>
                  </w14:solidFill>
                </w14:textFill>
              </w:rPr>
              <w:t>选取及</w:t>
            </w: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取值依据是否合理；</w:t>
            </w:r>
          </w:p>
          <w:p w14:paraId="6669CA40">
            <w:pPr>
              <w:ind w:firstLine="480" w:firstLineChars="200"/>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（2）核查并说明可比对象或可比案例的选取原则、调整因素和流动性折扣的取值依据及合理性，重点核查是否存在刻意只挑选有利可比公司，回避真正具有可比性公司进行比较的情况。</w:t>
            </w:r>
          </w:p>
          <w:p w14:paraId="4A9057A6">
            <w:pPr>
              <w:ind w:firstLine="480" w:firstLineChars="200"/>
              <w:rPr>
                <w:rFonts w:hint="default" w:ascii="Times New Roman" w:hAnsi="Times New Roman" w:eastAsia="仿宋_GB2312" w:cs="Times New Roman"/>
                <w:color w:val="000000" w:themeColor="text1"/>
                <w:spacing w:val="-6"/>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评估师应对上述事项进行核查，并发表明确核查意见。</w:t>
            </w:r>
          </w:p>
        </w:tc>
        <w:tc>
          <w:tcPr>
            <w:tcW w:w="1678" w:type="dxa"/>
            <w:noWrap/>
            <w:vAlign w:val="center"/>
          </w:tcPr>
          <w:p w14:paraId="3771B3AC">
            <w:pPr>
              <w:rPr>
                <w:rFonts w:hint="default" w:ascii="Times New Roman" w:hAnsi="Times New Roman" w:eastAsia="仿宋_GB2312" w:cs="Times New Roman"/>
                <w:color w:val="000000" w:themeColor="text1"/>
                <w:spacing w:val="-15"/>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《重组办法》第二十条</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《26号格式准则》第二十四条、第二十五条，《会计监管风险提示第5号——上市公司股权交易资产评估》</w:t>
            </w:r>
          </w:p>
        </w:tc>
      </w:tr>
      <w:tr w14:paraId="5C1FF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noWrap/>
            <w:vAlign w:val="center"/>
          </w:tcPr>
          <w:p w14:paraId="6F926D34">
            <w:pPr>
              <w:jc w:val="center"/>
              <w:rPr>
                <w:rFonts w:hint="default" w:ascii="Times New Roman" w:hAnsi="Times New Roman" w:eastAsia="仿宋_GB2312" w:cs="Times New Roman"/>
                <w:b/>
                <w:color w:val="000000" w:themeColor="text1"/>
                <w:spacing w:val="-8"/>
                <w:sz w:val="24"/>
                <w:szCs w:val="24"/>
                <w:highlight w:val="none"/>
                <w14:textFill>
                  <w14:solidFill>
                    <w14:schemeClr w14:val="tx1"/>
                  </w14:solidFill>
                </w14:textFill>
              </w:rPr>
            </w:pPr>
            <w:r>
              <w:rPr>
                <w:rFonts w:hint="default" w:ascii="Times New Roman" w:hAnsi="Times New Roman" w:eastAsia="仿宋_GB2312" w:cs="Times New Roman"/>
                <w:b/>
                <w:color w:val="000000" w:themeColor="text1"/>
                <w:spacing w:val="-8"/>
                <w:sz w:val="24"/>
                <w:szCs w:val="24"/>
                <w:highlight w:val="none"/>
                <w14:textFill>
                  <w14:solidFill>
                    <w14:schemeClr w14:val="tx1"/>
                  </w14:solidFill>
                </w14:textFill>
              </w:rPr>
              <w:t>3-4</w:t>
            </w:r>
          </w:p>
        </w:tc>
        <w:tc>
          <w:tcPr>
            <w:tcW w:w="1389" w:type="dxa"/>
            <w:noWrap/>
            <w:vAlign w:val="center"/>
          </w:tcPr>
          <w:p w14:paraId="5AA4BCCA">
            <w:pPr>
              <w:rPr>
                <w:rFonts w:hint="default" w:ascii="Times New Roman" w:hAnsi="Times New Roman" w:eastAsia="仿宋_GB2312" w:cs="Times New Roman"/>
                <w:b/>
                <w:color w:val="000000" w:themeColor="text1"/>
                <w:spacing w:val="-4"/>
                <w:sz w:val="24"/>
                <w:szCs w:val="24"/>
                <w:highlight w:val="none"/>
                <w14:textFill>
                  <w14:solidFill>
                    <w14:schemeClr w14:val="tx1"/>
                  </w14:solidFill>
                </w14:textFill>
              </w:rPr>
            </w:pPr>
            <w:r>
              <w:rPr>
                <w:rFonts w:hint="default" w:ascii="Times New Roman" w:hAnsi="Times New Roman" w:eastAsia="仿宋_GB2312" w:cs="Times New Roman"/>
                <w:b/>
                <w:color w:val="000000" w:themeColor="text1"/>
                <w:spacing w:val="-4"/>
                <w:sz w:val="24"/>
                <w:szCs w:val="24"/>
                <w:highlight w:val="none"/>
                <w14:textFill>
                  <w14:solidFill>
                    <w14:schemeClr w14:val="tx1"/>
                  </w14:solidFill>
                </w14:textFill>
              </w:rPr>
              <w:t>以资</w:t>
            </w:r>
            <w:r>
              <w:rPr>
                <w:rFonts w:hint="default" w:ascii="Times New Roman" w:hAnsi="Times New Roman" w:eastAsia="仿宋_GB2312" w:cs="Times New Roman"/>
                <w:b/>
                <w:color w:val="000000" w:themeColor="text1"/>
                <w:spacing w:val="-3"/>
                <w:sz w:val="24"/>
                <w:szCs w:val="24"/>
                <w:highlight w:val="none"/>
                <w14:textFill>
                  <w14:solidFill>
                    <w14:schemeClr w14:val="tx1"/>
                  </w14:solidFill>
                </w14:textFill>
              </w:rPr>
              <w:t>产</w:t>
            </w:r>
            <w:r>
              <w:rPr>
                <w:rFonts w:hint="default" w:ascii="Times New Roman" w:hAnsi="Times New Roman" w:eastAsia="仿宋_GB2312" w:cs="Times New Roman"/>
                <w:b/>
                <w:color w:val="000000" w:themeColor="text1"/>
                <w:spacing w:val="-2"/>
                <w:sz w:val="24"/>
                <w:szCs w:val="24"/>
                <w:highlight w:val="none"/>
                <w14:textFill>
                  <w14:solidFill>
                    <w14:schemeClr w14:val="tx1"/>
                  </w14:solidFill>
                </w14:textFill>
              </w:rPr>
              <w:t>基础法</w:t>
            </w:r>
            <w:r>
              <w:rPr>
                <w:rFonts w:hint="default" w:ascii="Times New Roman" w:hAnsi="Times New Roman" w:eastAsia="仿宋_GB2312" w:cs="Times New Roman"/>
                <w:b/>
                <w:color w:val="000000" w:themeColor="text1"/>
                <w:spacing w:val="-4"/>
                <w:sz w:val="24"/>
                <w:szCs w:val="24"/>
                <w:highlight w:val="none"/>
                <w14:textFill>
                  <w14:solidFill>
                    <w14:schemeClr w14:val="tx1"/>
                  </w14:solidFill>
                </w14:textFill>
              </w:rPr>
              <w:t>评估</w:t>
            </w:r>
            <w:r>
              <w:rPr>
                <w:rFonts w:hint="default" w:ascii="Times New Roman" w:hAnsi="Times New Roman" w:eastAsia="仿宋_GB2312" w:cs="Times New Roman"/>
                <w:b/>
                <w:color w:val="000000" w:themeColor="text1"/>
                <w:spacing w:val="-3"/>
                <w:sz w:val="24"/>
                <w:szCs w:val="24"/>
                <w:highlight w:val="none"/>
                <w14:textFill>
                  <w14:solidFill>
                    <w14:schemeClr w14:val="tx1"/>
                  </w14:solidFill>
                </w14:textFill>
              </w:rPr>
              <w:t>结</w:t>
            </w:r>
            <w:r>
              <w:rPr>
                <w:rFonts w:hint="default" w:ascii="Times New Roman" w:hAnsi="Times New Roman" w:eastAsia="仿宋_GB2312" w:cs="Times New Roman"/>
                <w:b/>
                <w:color w:val="000000" w:themeColor="text1"/>
                <w:spacing w:val="-2"/>
                <w:sz w:val="24"/>
                <w:szCs w:val="24"/>
                <w:highlight w:val="none"/>
                <w14:textFill>
                  <w14:solidFill>
                    <w14:schemeClr w14:val="tx1"/>
                  </w14:solidFill>
                </w14:textFill>
              </w:rPr>
              <w:t>果作为</w:t>
            </w:r>
            <w:r>
              <w:rPr>
                <w:rFonts w:hint="default" w:ascii="Times New Roman" w:hAnsi="Times New Roman" w:eastAsia="仿宋_GB2312" w:cs="Times New Roman"/>
                <w:b/>
                <w:color w:val="000000" w:themeColor="text1"/>
                <w:spacing w:val="-4"/>
                <w:sz w:val="24"/>
                <w:szCs w:val="24"/>
                <w:highlight w:val="none"/>
                <w14:textFill>
                  <w14:solidFill>
                    <w14:schemeClr w14:val="tx1"/>
                  </w14:solidFill>
                </w14:textFill>
              </w:rPr>
              <w:t>定</w:t>
            </w:r>
            <w:r>
              <w:rPr>
                <w:rFonts w:hint="default" w:ascii="Times New Roman" w:hAnsi="Times New Roman" w:eastAsia="仿宋_GB2312" w:cs="Times New Roman"/>
                <w:b/>
                <w:color w:val="000000" w:themeColor="text1"/>
                <w:spacing w:val="-3"/>
                <w:sz w:val="24"/>
                <w:szCs w:val="24"/>
                <w:highlight w:val="none"/>
                <w14:textFill>
                  <w14:solidFill>
                    <w14:schemeClr w14:val="tx1"/>
                  </w14:solidFill>
                </w14:textFill>
              </w:rPr>
              <w:t>价依据</w:t>
            </w:r>
          </w:p>
        </w:tc>
        <w:tc>
          <w:tcPr>
            <w:tcW w:w="4909" w:type="dxa"/>
            <w:noWrap/>
          </w:tcPr>
          <w:p w14:paraId="403DB3AA">
            <w:pPr>
              <w:ind w:firstLine="480" w:firstLineChars="200"/>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上市公司应当在重组报告书中披露：</w:t>
            </w:r>
          </w:p>
          <w:p w14:paraId="1E7E5D15">
            <w:pPr>
              <w:ind w:firstLine="480" w:firstLineChars="200"/>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（1）以资产基础法为评估定价依据的原因及合理性；</w:t>
            </w:r>
          </w:p>
          <w:p w14:paraId="1FAD707E">
            <w:pPr>
              <w:ind w:firstLine="480" w:firstLineChars="200"/>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2）以列表形式披露标的资产各项目的账面价值与本次评估值情况，主要资产的评估或估值方法及选择理由，评估或估值结果，评估增值的原因及合理性。如主要资产采用收益法、市场法评估或估值的，应参照收益法或市场法的相关要求进行披露。</w:t>
            </w:r>
          </w:p>
        </w:tc>
        <w:tc>
          <w:tcPr>
            <w:tcW w:w="5184" w:type="dxa"/>
            <w:noWrap/>
          </w:tcPr>
          <w:p w14:paraId="2046433D">
            <w:pPr>
              <w:ind w:firstLine="480" w:firstLineChars="200"/>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独立财务顾问应对以下事项进行核查，并在《独立财务顾问报告》中发表明确核查意见：</w:t>
            </w:r>
          </w:p>
          <w:p w14:paraId="4656729E">
            <w:pPr>
              <w:ind w:firstLine="480" w:firstLineChars="200"/>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（1）拟出售资产采用资产基础法估值并作为作价依据的，资产基础法估值是否显著低于其他方法的估值结果。如是，核查采用资产基础法作为定价依据的合理性，是否符合行业惯例，交易作价是否公允；</w:t>
            </w:r>
          </w:p>
          <w:p w14:paraId="5E3EB08A">
            <w:pPr>
              <w:ind w:firstLine="480" w:firstLineChars="200"/>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（2）拟购买资产以资产基础法为评估定价依据的原因及合理性，是否存在采用资产基础法估值规避业绩承诺补偿的情形；</w:t>
            </w:r>
          </w:p>
          <w:p w14:paraId="1DD0C2F2">
            <w:pPr>
              <w:ind w:firstLine="480" w:firstLineChars="200"/>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（3）核查标的资产各项目的账面价值与本次评估值情况，评估增值率情况，各资产评估值与账面值差异的原因及合理性，重点核查评估增值类科目的评估过程，主要评估参数的取值依据及合理性。</w:t>
            </w:r>
          </w:p>
          <w:p w14:paraId="5E19F7AD">
            <w:pPr>
              <w:ind w:firstLine="480" w:firstLineChars="200"/>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评估师应对上述事项进行核查，并发表明确核查意见。</w:t>
            </w:r>
          </w:p>
        </w:tc>
        <w:tc>
          <w:tcPr>
            <w:tcW w:w="1678" w:type="dxa"/>
            <w:noWrap/>
            <w:vAlign w:val="center"/>
          </w:tcPr>
          <w:p w14:paraId="288A4D7B">
            <w:pPr>
              <w:rPr>
                <w:rFonts w:hint="default" w:ascii="Times New Roman" w:hAnsi="Times New Roman" w:eastAsia="仿宋_GB2312" w:cs="Times New Roman"/>
                <w:color w:val="000000" w:themeColor="text1"/>
                <w:spacing w:val="-15"/>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《重组办法》第二十条</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《26号格式准则》第十七条、第二十四条、第二十五条，《会计监管风险提示第5号——上市公司股权交易资产评估》</w:t>
            </w:r>
          </w:p>
        </w:tc>
      </w:tr>
      <w:tr w14:paraId="60760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noWrap/>
            <w:vAlign w:val="center"/>
          </w:tcPr>
          <w:p w14:paraId="6F20A19F">
            <w:pPr>
              <w:jc w:val="center"/>
              <w:rPr>
                <w:rFonts w:hint="default" w:ascii="Times New Roman" w:hAnsi="Times New Roman" w:eastAsia="仿宋_GB2312" w:cs="Times New Roman"/>
                <w:b/>
                <w:color w:val="000000" w:themeColor="text1"/>
                <w:spacing w:val="-8"/>
                <w:sz w:val="24"/>
                <w:szCs w:val="24"/>
                <w:highlight w:val="none"/>
                <w14:textFill>
                  <w14:solidFill>
                    <w14:schemeClr w14:val="tx1"/>
                  </w14:solidFill>
                </w14:textFill>
              </w:rPr>
            </w:pPr>
            <w:r>
              <w:rPr>
                <w:rFonts w:hint="default" w:ascii="Times New Roman" w:hAnsi="Times New Roman" w:eastAsia="仿宋_GB2312" w:cs="Times New Roman"/>
                <w:b/>
                <w:color w:val="000000" w:themeColor="text1"/>
                <w:spacing w:val="-8"/>
                <w:sz w:val="24"/>
                <w:szCs w:val="24"/>
                <w:highlight w:val="none"/>
                <w14:textFill>
                  <w14:solidFill>
                    <w14:schemeClr w14:val="tx1"/>
                  </w14:solidFill>
                </w14:textFill>
              </w:rPr>
              <w:t>3-5</w:t>
            </w:r>
          </w:p>
        </w:tc>
        <w:tc>
          <w:tcPr>
            <w:tcW w:w="1389" w:type="dxa"/>
            <w:noWrap/>
            <w:vAlign w:val="center"/>
          </w:tcPr>
          <w:p w14:paraId="7B07587C">
            <w:pPr>
              <w:rPr>
                <w:rFonts w:hint="default" w:ascii="Times New Roman" w:hAnsi="Times New Roman" w:eastAsia="仿宋_GB2312" w:cs="Times New Roman"/>
                <w:b/>
                <w:color w:val="000000" w:themeColor="text1"/>
                <w:spacing w:val="-4"/>
                <w:sz w:val="24"/>
                <w:szCs w:val="24"/>
                <w:highlight w:val="none"/>
                <w14:textFill>
                  <w14:solidFill>
                    <w14:schemeClr w14:val="tx1"/>
                  </w14:solidFill>
                </w14:textFill>
              </w:rPr>
            </w:pPr>
            <w:r>
              <w:rPr>
                <w:rFonts w:hint="default" w:ascii="Times New Roman" w:hAnsi="Times New Roman" w:eastAsia="仿宋_GB2312" w:cs="Times New Roman"/>
                <w:b/>
                <w:color w:val="000000" w:themeColor="text1"/>
                <w:spacing w:val="-4"/>
                <w:sz w:val="24"/>
                <w:szCs w:val="24"/>
                <w:highlight w:val="none"/>
                <w14:textFill>
                  <w14:solidFill>
                    <w14:schemeClr w14:val="tx1"/>
                  </w14:solidFill>
                </w14:textFill>
              </w:rPr>
              <w:t>以其他方法评估结果或者估值报告结果作为定价依据</w:t>
            </w:r>
          </w:p>
        </w:tc>
        <w:tc>
          <w:tcPr>
            <w:tcW w:w="4909" w:type="dxa"/>
            <w:noWrap/>
          </w:tcPr>
          <w:p w14:paraId="1AC70B84">
            <w:pPr>
              <w:ind w:firstLine="480" w:firstLineChars="200"/>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上市公司应当在重组报告书中披露：</w:t>
            </w:r>
          </w:p>
          <w:p w14:paraId="13EB1E6F">
            <w:pPr>
              <w:ind w:firstLine="480" w:firstLineChars="200"/>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（1）评估或估值假设、重要参数及依据、评估或估值过程，其他方法评估结果或估值结果与另一种方法的对比情况及差异原因；</w:t>
            </w:r>
          </w:p>
          <w:p w14:paraId="57A7185A">
            <w:pPr>
              <w:ind w:firstLine="480" w:firstLineChars="200"/>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（2）采用其他方法评估结果或估值报告结果作为定价依据的原因和合理性，与标的资产所处行业特征、业务特点、发展阶段、财务数据等的匹配性；</w:t>
            </w:r>
          </w:p>
          <w:p w14:paraId="36CAA5D0">
            <w:pPr>
              <w:ind w:firstLine="480" w:firstLineChars="200"/>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（3）结合评估或估值方法、重要参数选择、评估或估值过程等，对比可比交易情况，披露差异原因及合理性。</w:t>
            </w:r>
          </w:p>
        </w:tc>
        <w:tc>
          <w:tcPr>
            <w:tcW w:w="5184" w:type="dxa"/>
            <w:noWrap/>
          </w:tcPr>
          <w:p w14:paraId="56855E83">
            <w:pPr>
              <w:ind w:firstLine="480" w:firstLineChars="200"/>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独立财务顾问应对以下事项进行核查，并在《独立财务顾问报告》中发表明确核查意见：</w:t>
            </w:r>
          </w:p>
          <w:p w14:paraId="62A175EC">
            <w:pPr>
              <w:ind w:firstLine="480" w:firstLineChars="200"/>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1）评估或估值方法、假设、重要参数选择及评估或估值过程，是否符合评估相关规定和要求，其他方法评估结果或估值结果与另一种方法存在差异的原因，对其他方法评估结果或者估值结果的公允性发表明确意见；</w:t>
            </w:r>
          </w:p>
          <w:p w14:paraId="6C96F46A">
            <w:pPr>
              <w:ind w:firstLine="480" w:firstLineChars="200"/>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（2）采用其他方法评估结果或估值报告结果作为定价依据的原因和合理性，是否与标的资产所处行业特征、业务特点、发展阶段、财务数据等匹配；</w:t>
            </w:r>
          </w:p>
          <w:p w14:paraId="3CA09072">
            <w:pPr>
              <w:ind w:firstLine="480" w:firstLineChars="200"/>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（3）本次评估或估值方法、重要参数选择、评估或估值过程等与可比交易的对比情况，核查差异原因及合理性。</w:t>
            </w:r>
          </w:p>
          <w:p w14:paraId="4DB09824">
            <w:pPr>
              <w:ind w:firstLine="480" w:firstLineChars="200"/>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评估师应对上述事项进行核查，并发表明确核查意见。</w:t>
            </w:r>
          </w:p>
        </w:tc>
        <w:tc>
          <w:tcPr>
            <w:tcW w:w="1678" w:type="dxa"/>
            <w:noWrap/>
          </w:tcPr>
          <w:p w14:paraId="4D69CCBD">
            <w:pPr>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《重组办法》第二十条</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《26号格式准则》第二十四条</w:t>
            </w:r>
          </w:p>
        </w:tc>
      </w:tr>
      <w:tr w14:paraId="34EEC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noWrap/>
            <w:vAlign w:val="center"/>
          </w:tcPr>
          <w:p w14:paraId="38D38648">
            <w:pPr>
              <w:jc w:val="center"/>
              <w:rPr>
                <w:rFonts w:hint="default" w:ascii="Times New Roman" w:hAnsi="Times New Roman" w:eastAsia="仿宋_GB2312" w:cs="Times New Roman"/>
                <w:b/>
                <w:color w:val="000000" w:themeColor="text1"/>
                <w:spacing w:val="-8"/>
                <w:sz w:val="24"/>
                <w:szCs w:val="24"/>
                <w:highlight w:val="none"/>
                <w14:textFill>
                  <w14:solidFill>
                    <w14:schemeClr w14:val="tx1"/>
                  </w14:solidFill>
                </w14:textFill>
              </w:rPr>
            </w:pPr>
            <w:r>
              <w:rPr>
                <w:rFonts w:hint="default" w:ascii="Times New Roman" w:hAnsi="Times New Roman" w:eastAsia="仿宋_GB2312" w:cs="Times New Roman"/>
                <w:b/>
                <w:color w:val="000000" w:themeColor="text1"/>
                <w:spacing w:val="-8"/>
                <w:sz w:val="24"/>
                <w:szCs w:val="24"/>
                <w:highlight w:val="none"/>
                <w14:textFill>
                  <w14:solidFill>
                    <w14:schemeClr w14:val="tx1"/>
                  </w14:solidFill>
                </w14:textFill>
              </w:rPr>
              <w:t>3-6</w:t>
            </w:r>
          </w:p>
        </w:tc>
        <w:tc>
          <w:tcPr>
            <w:tcW w:w="1389" w:type="dxa"/>
            <w:noWrap/>
            <w:vAlign w:val="center"/>
          </w:tcPr>
          <w:p w14:paraId="7F232E61">
            <w:pPr>
              <w:rPr>
                <w:rFonts w:hint="default" w:ascii="Times New Roman" w:hAnsi="Times New Roman" w:eastAsia="仿宋_GB2312" w:cs="Times New Roman"/>
                <w:b/>
                <w:color w:val="000000" w:themeColor="text1"/>
                <w:spacing w:val="-4"/>
                <w:sz w:val="24"/>
                <w:szCs w:val="24"/>
                <w:highlight w:val="none"/>
                <w14:textFill>
                  <w14:solidFill>
                    <w14:schemeClr w14:val="tx1"/>
                  </w14:solidFill>
                </w14:textFill>
              </w:rPr>
            </w:pPr>
            <w:r>
              <w:rPr>
                <w:rFonts w:hint="default" w:ascii="Times New Roman" w:hAnsi="Times New Roman" w:eastAsia="仿宋_GB2312" w:cs="Times New Roman"/>
                <w:b/>
                <w:color w:val="000000" w:themeColor="text1"/>
                <w:spacing w:val="-4"/>
                <w:sz w:val="24"/>
                <w:szCs w:val="24"/>
                <w:highlight w:val="none"/>
                <w14:textFill>
                  <w14:solidFill>
                    <w14:schemeClr w14:val="tx1"/>
                  </w14:solidFill>
                </w14:textFill>
              </w:rPr>
              <w:t>交易作价</w:t>
            </w:r>
            <w:r>
              <w:rPr>
                <w:rFonts w:hint="default" w:ascii="Times New Roman" w:hAnsi="Times New Roman" w:eastAsia="仿宋_GB2312" w:cs="Times New Roman"/>
                <w:b/>
                <w:color w:val="000000" w:themeColor="text1"/>
                <w:spacing w:val="-8"/>
                <w:sz w:val="24"/>
                <w:szCs w:val="24"/>
                <w:highlight w:val="none"/>
                <w14:textFill>
                  <w14:solidFill>
                    <w14:schemeClr w14:val="tx1"/>
                  </w14:solidFill>
                </w14:textFill>
              </w:rPr>
              <w:t>的</w:t>
            </w:r>
            <w:r>
              <w:rPr>
                <w:rFonts w:hint="default" w:ascii="Times New Roman" w:hAnsi="Times New Roman" w:eastAsia="仿宋_GB2312" w:cs="Times New Roman"/>
                <w:b/>
                <w:color w:val="000000" w:themeColor="text1"/>
                <w:spacing w:val="-5"/>
                <w:sz w:val="24"/>
                <w:szCs w:val="24"/>
                <w:highlight w:val="none"/>
                <w14:textFill>
                  <w14:solidFill>
                    <w14:schemeClr w14:val="tx1"/>
                  </w14:solidFill>
                </w14:textFill>
              </w:rPr>
              <w:t>公允性及合理性</w:t>
            </w:r>
          </w:p>
        </w:tc>
        <w:tc>
          <w:tcPr>
            <w:tcW w:w="4909" w:type="dxa"/>
            <w:noWrap/>
          </w:tcPr>
          <w:p w14:paraId="7CA11CCE">
            <w:pPr>
              <w:ind w:firstLine="480" w:firstLineChars="200"/>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上市公司应在重组报告书中披露：</w:t>
            </w:r>
          </w:p>
          <w:p w14:paraId="658450FB">
            <w:pPr>
              <w:ind w:firstLine="480" w:firstLineChars="200"/>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（1）以列表形式披露标的资产最近三年内评估结果、估值结果或者交易价格、交易对方，与本次重组评估或估值情况的差异原因；</w:t>
            </w:r>
          </w:p>
          <w:p w14:paraId="419E08A4">
            <w:pPr>
              <w:ind w:firstLine="480" w:firstLineChars="200"/>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（2）结合本次交易市盈率、市净率、评估增值率等情况，对比同行业可比上市公司、可比交易情况，披露本次交易评估作价的合理性，并披露可比上市公司、可比交易的选择依据和可比性；</w:t>
            </w:r>
          </w:p>
          <w:p w14:paraId="6F0D3CB5">
            <w:pPr>
              <w:ind w:firstLine="480" w:firstLineChars="200"/>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（3）资产定价过程是否经过充分的市场博弈，交易价格是否显失公允；</w:t>
            </w:r>
          </w:p>
          <w:p w14:paraId="0CD77E09">
            <w:pPr>
              <w:ind w:firstLine="480" w:firstLineChars="200"/>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（4）评估或估值基准日至重组报告书签署日的重要变化事项及其对评估或估值结果的影响。</w:t>
            </w:r>
          </w:p>
        </w:tc>
        <w:tc>
          <w:tcPr>
            <w:tcW w:w="5184" w:type="dxa"/>
            <w:noWrap/>
          </w:tcPr>
          <w:p w14:paraId="02FD9FF7">
            <w:pPr>
              <w:ind w:firstLine="480" w:firstLineChars="200"/>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独立财务顾问应对以下事项进行核查，并在《独立财务顾问报告》中发表明确核查意见：</w:t>
            </w:r>
          </w:p>
          <w:p w14:paraId="09C4E1F3">
            <w:pPr>
              <w:ind w:firstLine="480" w:firstLineChars="200"/>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（1）结合标的资产最近三年内股权转让或增资的原因和交易背景，转让或增资价格，对应的标的资产作价情况，核查并说明本次交易中评估作价与历次股权转让或增资价格的差异原因及合理性；</w:t>
            </w:r>
          </w:p>
          <w:p w14:paraId="064F2584">
            <w:pPr>
              <w:ind w:firstLine="480" w:firstLineChars="200"/>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（2）结合本次交易市盈率、市净率、评估增值率等情况，</w:t>
            </w:r>
            <w:r>
              <w:rPr>
                <w:rFonts w:hint="default" w:ascii="Times New Roman" w:hAnsi="Times New Roman" w:eastAsia="仿宋_GB2312" w:cs="Times New Roman"/>
                <w:bCs/>
                <w:color w:val="000000" w:themeColor="text1"/>
                <w:sz w:val="24"/>
                <w:szCs w:val="24"/>
                <w:highlight w:val="none"/>
                <w:lang w:val="en-US" w:eastAsia="zh-CN"/>
                <w14:textFill>
                  <w14:solidFill>
                    <w14:schemeClr w14:val="tx1"/>
                  </w14:solidFill>
                </w14:textFill>
              </w:rPr>
              <w:t>以及</w:t>
            </w: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标的资产运营模式、研发投入、业绩增长、同行业可比公司及可比交易定价情况等，多角度核查本次交易评估作价的合理性，可比上市公司、可比交易的可比性；</w:t>
            </w:r>
          </w:p>
          <w:p w14:paraId="1DA42AAB">
            <w:pPr>
              <w:ind w:firstLine="480" w:firstLineChars="200"/>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（3）如采用收益法和资产基础法进行评估的，核查是否存在收益法评估结果低于资产基础法的情形。如是，核查标的资产是否存在经营性减值，对相关减值资产的减值计提情况及会计处理合规性；</w:t>
            </w:r>
          </w:p>
          <w:p w14:paraId="52DA4CDE">
            <w:pPr>
              <w:ind w:firstLine="480" w:firstLineChars="200"/>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（4）本次交易定价的过程及交易作价公允性、合理性；</w:t>
            </w:r>
          </w:p>
          <w:p w14:paraId="191540DE">
            <w:pPr>
              <w:ind w:firstLine="480" w:firstLineChars="200"/>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（5）评估或估值基准日后是否发生重大变化，如行业发展趋势、市场供求关系、标的公司的经营情况、主要产品的销售价格、数量、毛利率等，对评估或估值结果的影响。</w:t>
            </w:r>
          </w:p>
          <w:p w14:paraId="1C2D63A2">
            <w:pPr>
              <w:ind w:firstLine="480" w:firstLineChars="200"/>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评估师应对上述事项进行核查，并发表明确核查意见。</w:t>
            </w:r>
          </w:p>
        </w:tc>
        <w:tc>
          <w:tcPr>
            <w:tcW w:w="1678" w:type="dxa"/>
            <w:noWrap/>
          </w:tcPr>
          <w:p w14:paraId="69980F85">
            <w:pPr>
              <w:rPr>
                <w:rFonts w:hint="default" w:ascii="Times New Roman" w:hAnsi="Times New Roman" w:cs="Times New Roman"/>
                <w:highlight w:val="none"/>
              </w:rPr>
            </w:pPr>
            <w:r>
              <w:rPr>
                <w:rFonts w:hint="default" w:ascii="Times New Roman" w:hAnsi="Times New Roman" w:eastAsia="仿宋_GB2312" w:cs="Times New Roman"/>
                <w:bCs/>
                <w:sz w:val="24"/>
                <w:szCs w:val="24"/>
                <w:highlight w:val="none"/>
              </w:rPr>
              <w:t>《重组办法》第十一条</w:t>
            </w:r>
            <w:r>
              <w:rPr>
                <w:rFonts w:hint="default" w:ascii="Times New Roman" w:hAnsi="Times New Roman" w:cs="Times New Roman"/>
                <w:highlight w:val="none"/>
              </w:rPr>
              <w:t>，</w:t>
            </w: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《26号格式准则》第十七条、第二十五条，《重组审核规则》第二十三条，《会计监管风险提示第5号——上市公司股权交易资产评估》</w:t>
            </w:r>
          </w:p>
        </w:tc>
      </w:tr>
      <w:tr w14:paraId="10E9D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0" w:type="dxa"/>
            <w:noWrap/>
            <w:vAlign w:val="center"/>
          </w:tcPr>
          <w:p w14:paraId="1DB67170">
            <w:pPr>
              <w:jc w:val="center"/>
              <w:rPr>
                <w:rFonts w:hint="default" w:ascii="Times New Roman" w:hAnsi="Times New Roman" w:eastAsia="仿宋_GB2312" w:cs="Times New Roman"/>
                <w:b/>
                <w:color w:val="000000" w:themeColor="text1"/>
                <w:spacing w:val="-8"/>
                <w:sz w:val="24"/>
                <w:szCs w:val="24"/>
                <w:highlight w:val="none"/>
                <w14:textFill>
                  <w14:solidFill>
                    <w14:schemeClr w14:val="tx1"/>
                  </w14:solidFill>
                </w14:textFill>
              </w:rPr>
            </w:pPr>
            <w:r>
              <w:rPr>
                <w:rFonts w:hint="default" w:ascii="Times New Roman" w:hAnsi="Times New Roman" w:eastAsia="仿宋_GB2312" w:cs="Times New Roman"/>
                <w:b/>
                <w:color w:val="000000" w:themeColor="text1"/>
                <w:spacing w:val="-8"/>
                <w:sz w:val="24"/>
                <w:szCs w:val="24"/>
                <w:highlight w:val="none"/>
                <w14:textFill>
                  <w14:solidFill>
                    <w14:schemeClr w14:val="tx1"/>
                  </w14:solidFill>
                </w14:textFill>
              </w:rPr>
              <w:t>3-7</w:t>
            </w:r>
          </w:p>
        </w:tc>
        <w:tc>
          <w:tcPr>
            <w:tcW w:w="1389" w:type="dxa"/>
            <w:noWrap/>
            <w:vAlign w:val="center"/>
          </w:tcPr>
          <w:p w14:paraId="1729CF9D">
            <w:pPr>
              <w:rPr>
                <w:rFonts w:hint="default" w:ascii="Times New Roman" w:hAnsi="Times New Roman" w:eastAsia="仿宋_GB2312" w:cs="Times New Roman"/>
                <w:b/>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
                <w:color w:val="000000" w:themeColor="text1"/>
                <w:sz w:val="24"/>
                <w:szCs w:val="24"/>
                <w:highlight w:val="none"/>
                <w14:textFill>
                  <w14:solidFill>
                    <w14:schemeClr w14:val="tx1"/>
                  </w14:solidFill>
                </w14:textFill>
              </w:rPr>
              <w:t>商誉会计处理及减值风险</w:t>
            </w:r>
          </w:p>
        </w:tc>
        <w:tc>
          <w:tcPr>
            <w:tcW w:w="4909" w:type="dxa"/>
            <w:noWrap/>
            <w:vAlign w:val="center"/>
          </w:tcPr>
          <w:p w14:paraId="012C9289">
            <w:pPr>
              <w:ind w:firstLine="480" w:firstLineChars="200"/>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上市公司应当在重组报告书中披露：</w:t>
            </w:r>
          </w:p>
          <w:p w14:paraId="16B1C92C">
            <w:pPr>
              <w:ind w:firstLine="480" w:firstLineChars="200"/>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（1）备考财务报表中商誉的确认依据，对标的资产可辨认无形资产及公允价值的确认情况是否符合企业会计准则的规定；</w:t>
            </w:r>
          </w:p>
          <w:p w14:paraId="2732388C">
            <w:pPr>
              <w:ind w:firstLine="480" w:firstLineChars="200"/>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（2）本次交易完成后上市公司商誉的金额及相当于净利润、净资产额、资产总额的比例，量化分析商誉减值对上市公司主要财务指标的影响，充分披露商誉的减值风险及拟采取的应对措施；</w:t>
            </w:r>
          </w:p>
          <w:p w14:paraId="58DE9CEA">
            <w:pPr>
              <w:ind w:firstLine="480" w:firstLineChars="200"/>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（3）如在前次过桥交易中已确认大额商誉的，披露商誉减值测试情况，是否符合《会计监管风险提示第8号——商誉减值》的要求。</w:t>
            </w:r>
          </w:p>
        </w:tc>
        <w:tc>
          <w:tcPr>
            <w:tcW w:w="5184" w:type="dxa"/>
            <w:noWrap/>
            <w:vAlign w:val="center"/>
          </w:tcPr>
          <w:p w14:paraId="74D55C3D">
            <w:pPr>
              <w:ind w:firstLine="480" w:firstLineChars="200"/>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独立财务顾问应对以下事项进行核查，并在《独立财务顾问报告》中发表明确核查意见:</w:t>
            </w:r>
          </w:p>
          <w:p w14:paraId="4626FF9A">
            <w:pPr>
              <w:ind w:firstLine="480" w:firstLineChars="200"/>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（1）商誉形成过程、与商誉有关的资产或资产组的具体划分和认定、商誉增减变动情况；</w:t>
            </w:r>
          </w:p>
          <w:p w14:paraId="7E446ABE">
            <w:pPr>
              <w:ind w:firstLine="480" w:firstLineChars="200"/>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（2）商誉会计处理是否准确，相关评估是否可靠，备考财务报表中商誉的确认依据是否准确，是否已充分确认标的资产可辨认无形资产并确认其公允价值；</w:t>
            </w:r>
          </w:p>
          <w:p w14:paraId="45EF3B85">
            <w:pPr>
              <w:ind w:firstLine="480" w:firstLineChars="200"/>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3）减值测试依据、相关评估的公允性和合规性（如有）、减值测试的主要方法和重要参数选择是否合规、合理，减值测试是否符合《会计监管风险提示第8号——商誉减值》的要求，如标的资产为SPV，且在前次过桥交易中已确认大额商誉的，核查标的资产是否对前次交易形成的商誉进行减值测试，减值准备计提是否充分；</w:t>
            </w:r>
          </w:p>
          <w:p w14:paraId="72BB7790">
            <w:pPr>
              <w:ind w:firstLine="480" w:firstLineChars="200"/>
              <w:rPr>
                <w:rFonts w:hint="default" w:ascii="Times New Roman" w:hAnsi="Times New Roman" w:eastAsia="仿宋_GB2312" w:cs="Times New Roman"/>
                <w:bCs/>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（4）商誉减值对上市公司主要财务指标（包括但不限于总资产、净资产、净利润等）影响的披露是否准确</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eastAsia="仿宋_GB2312" w:cs="Times New Roman"/>
                <w:bCs/>
                <w:sz w:val="24"/>
                <w:szCs w:val="24"/>
                <w:highlight w:val="none"/>
              </w:rPr>
              <w:t>对商誉占比较高的风险以及对商誉减值风险</w:t>
            </w: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的提示是否充分。</w:t>
            </w:r>
          </w:p>
          <w:p w14:paraId="7F7DA82A">
            <w:pPr>
              <w:ind w:firstLine="480" w:firstLineChars="200"/>
              <w:rPr>
                <w:rFonts w:hint="default" w:ascii="Times New Roman" w:hAnsi="Times New Roman" w:eastAsia="仿宋_GB2312" w:cs="Times New Roman"/>
                <w:color w:val="000000" w:themeColor="text1"/>
                <w:spacing w:val="-2"/>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会计师应对上述事项进行核查，并发表明确核查意见。</w:t>
            </w:r>
          </w:p>
        </w:tc>
        <w:tc>
          <w:tcPr>
            <w:tcW w:w="1678" w:type="dxa"/>
            <w:noWrap/>
          </w:tcPr>
          <w:p w14:paraId="624DA8A5">
            <w:pPr>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bCs/>
                <w:color w:val="000000" w:themeColor="text1"/>
                <w:sz w:val="24"/>
                <w:szCs w:val="24"/>
                <w:highlight w:val="none"/>
                <w14:textFill>
                  <w14:solidFill>
                    <w14:schemeClr w14:val="tx1"/>
                  </w14:solidFill>
                </w14:textFill>
              </w:rPr>
              <w:t>《26号格式准则》第三十五条，《会计监管风险提示第8号——商誉减值》</w:t>
            </w:r>
          </w:p>
        </w:tc>
      </w:tr>
    </w:tbl>
    <w:p w14:paraId="0F5C4B85">
      <w:pPr>
        <w:rPr>
          <w:rFonts w:hint="default" w:ascii="Times New Roman" w:hAnsi="Times New Roman" w:cs="Times New Roman"/>
          <w:color w:val="000000" w:themeColor="text1"/>
          <w:highlight w:val="none"/>
          <w14:textFill>
            <w14:solidFill>
              <w14:schemeClr w14:val="tx1"/>
            </w14:solidFill>
          </w14:textFill>
        </w:rPr>
      </w:pPr>
    </w:p>
    <w:tbl>
      <w:tblPr>
        <w:tblStyle w:val="12"/>
        <w:tblW w:w="140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4"/>
        <w:gridCol w:w="1393"/>
        <w:gridCol w:w="4901"/>
        <w:gridCol w:w="5141"/>
        <w:gridCol w:w="1701"/>
      </w:tblGrid>
      <w:tr w14:paraId="5001A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blHeader/>
        </w:trPr>
        <w:tc>
          <w:tcPr>
            <w:tcW w:w="14000" w:type="dxa"/>
            <w:gridSpan w:val="5"/>
            <w:tcBorders>
              <w:top w:val="single" w:color="000000" w:sz="4" w:space="0"/>
              <w:left w:val="single" w:color="000000" w:sz="4" w:space="0"/>
              <w:bottom w:val="single" w:color="000000" w:sz="4" w:space="0"/>
              <w:right w:val="single" w:color="000000" w:sz="4" w:space="0"/>
            </w:tcBorders>
            <w:shd w:val="clear" w:color="auto" w:fill="8DB3E2"/>
            <w:noWrap/>
            <w:vAlign w:val="center"/>
          </w:tcPr>
          <w:p w14:paraId="7E1A12F6">
            <w:pPr>
              <w:spacing w:line="280" w:lineRule="exact"/>
              <w:jc w:val="center"/>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四、关于拟购买资产财务状况及经营成果</w:t>
            </w:r>
          </w:p>
        </w:tc>
      </w:tr>
      <w:tr w14:paraId="4D831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864" w:type="dxa"/>
            <w:tcBorders>
              <w:top w:val="single" w:color="000000" w:sz="4" w:space="0"/>
              <w:left w:val="single" w:color="000000" w:sz="4" w:space="0"/>
              <w:bottom w:val="single" w:color="000000" w:sz="4" w:space="0"/>
              <w:right w:val="single" w:color="000000" w:sz="4" w:space="0"/>
            </w:tcBorders>
            <w:noWrap/>
            <w:vAlign w:val="center"/>
          </w:tcPr>
          <w:p w14:paraId="5C87CCAC">
            <w:pPr>
              <w:jc w:val="center"/>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序号</w:t>
            </w:r>
          </w:p>
        </w:tc>
        <w:tc>
          <w:tcPr>
            <w:tcW w:w="1393" w:type="dxa"/>
            <w:tcBorders>
              <w:top w:val="single" w:color="000000" w:sz="4" w:space="0"/>
              <w:left w:val="single" w:color="000000" w:sz="4" w:space="0"/>
              <w:bottom w:val="single" w:color="000000" w:sz="4" w:space="0"/>
              <w:right w:val="single" w:color="000000" w:sz="4" w:space="0"/>
            </w:tcBorders>
            <w:noWrap/>
            <w:vAlign w:val="center"/>
          </w:tcPr>
          <w:p w14:paraId="7D1FFCD5">
            <w:pPr>
              <w:jc w:val="center"/>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问题</w:t>
            </w:r>
          </w:p>
        </w:tc>
        <w:tc>
          <w:tcPr>
            <w:tcW w:w="4901" w:type="dxa"/>
            <w:tcBorders>
              <w:top w:val="single" w:color="000000" w:sz="4" w:space="0"/>
              <w:left w:val="single" w:color="000000" w:sz="4" w:space="0"/>
              <w:bottom w:val="single" w:color="000000" w:sz="4" w:space="0"/>
              <w:right w:val="single" w:color="000000" w:sz="4" w:space="0"/>
            </w:tcBorders>
            <w:noWrap/>
            <w:vAlign w:val="center"/>
          </w:tcPr>
          <w:p w14:paraId="378BDE0E">
            <w:pPr>
              <w:jc w:val="center"/>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披露要求</w:t>
            </w:r>
          </w:p>
        </w:tc>
        <w:tc>
          <w:tcPr>
            <w:tcW w:w="5141" w:type="dxa"/>
            <w:tcBorders>
              <w:top w:val="single" w:color="000000" w:sz="4" w:space="0"/>
              <w:left w:val="single" w:color="000000" w:sz="4" w:space="0"/>
              <w:bottom w:val="single" w:color="000000" w:sz="4" w:space="0"/>
              <w:right w:val="single" w:color="000000" w:sz="4" w:space="0"/>
            </w:tcBorders>
            <w:noWrap/>
            <w:vAlign w:val="center"/>
          </w:tcPr>
          <w:p w14:paraId="13E7EDB6">
            <w:pPr>
              <w:jc w:val="center"/>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核查要求</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3A9E77B0">
            <w:pPr>
              <w:jc w:val="center"/>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参考规范</w:t>
            </w:r>
          </w:p>
        </w:tc>
      </w:tr>
      <w:tr w14:paraId="24869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864" w:type="dxa"/>
            <w:tcBorders>
              <w:top w:val="single" w:color="000000" w:sz="4" w:space="0"/>
              <w:left w:val="single" w:color="000000" w:sz="4" w:space="0"/>
              <w:bottom w:val="single" w:color="000000" w:sz="4" w:space="0"/>
              <w:right w:val="single" w:color="000000" w:sz="4" w:space="0"/>
            </w:tcBorders>
            <w:noWrap/>
            <w:vAlign w:val="center"/>
          </w:tcPr>
          <w:p w14:paraId="4851BF26">
            <w:pPr>
              <w:jc w:val="center"/>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4-1</w:t>
            </w:r>
          </w:p>
        </w:tc>
        <w:tc>
          <w:tcPr>
            <w:tcW w:w="1393" w:type="dxa"/>
            <w:tcBorders>
              <w:top w:val="single" w:color="000000" w:sz="4" w:space="0"/>
              <w:left w:val="single" w:color="000000" w:sz="4" w:space="0"/>
              <w:bottom w:val="single" w:color="000000" w:sz="4" w:space="0"/>
              <w:right w:val="single" w:color="000000" w:sz="4" w:space="0"/>
            </w:tcBorders>
            <w:noWrap/>
            <w:vAlign w:val="center"/>
          </w:tcPr>
          <w:p w14:paraId="24DAC35A">
            <w:pPr>
              <w:autoSpaceDE w:val="0"/>
              <w:autoSpaceDN w:val="0"/>
              <w:adjustRightInd w:val="0"/>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行业特点及竞争格局</w:t>
            </w:r>
          </w:p>
        </w:tc>
        <w:tc>
          <w:tcPr>
            <w:tcW w:w="4901" w:type="dxa"/>
            <w:tcBorders>
              <w:top w:val="single" w:color="000000" w:sz="4" w:space="0"/>
              <w:left w:val="single" w:color="000000" w:sz="4" w:space="0"/>
              <w:bottom w:val="single" w:color="000000" w:sz="4" w:space="0"/>
              <w:right w:val="single" w:color="000000" w:sz="4" w:space="0"/>
            </w:tcBorders>
            <w:noWrap/>
            <w:vAlign w:val="center"/>
          </w:tcPr>
          <w:p w14:paraId="719767B0">
            <w:pPr>
              <w:ind w:firstLine="480" w:firstLineChars="200"/>
              <w:jc w:val="left"/>
              <w:rPr>
                <w:rFonts w:hint="default" w:ascii="Times New Roman" w:hAnsi="Times New Roman" w:eastAsia="仿宋_GB2312" w:cs="Times New Roman"/>
                <w:bCs/>
                <w:sz w:val="24"/>
                <w:szCs w:val="24"/>
                <w:highlight w:val="none"/>
              </w:rPr>
            </w:pPr>
            <w:r>
              <w:rPr>
                <w:rFonts w:hint="default" w:ascii="Times New Roman" w:hAnsi="Times New Roman" w:eastAsia="仿宋_GB2312" w:cs="Times New Roman"/>
                <w:bCs/>
                <w:sz w:val="24"/>
                <w:szCs w:val="24"/>
                <w:highlight w:val="none"/>
              </w:rPr>
              <w:t>上市公司应当在重组报告书中披露：</w:t>
            </w:r>
          </w:p>
          <w:p w14:paraId="18BDE50D">
            <w:pPr>
              <w:ind w:firstLine="480" w:firstLineChars="200"/>
              <w:jc w:val="lef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（1）拟购买资产所属行业的竞争格局和市场化程度，进入该行业的主要障碍，行业内主要企业及其市场份额，市场供求状况及变动原因，行业利润水平的变动趋势及变动原因等；</w:t>
            </w:r>
          </w:p>
          <w:p w14:paraId="45A057D3">
            <w:pPr>
              <w:ind w:firstLine="480" w:firstLineChars="200"/>
              <w:jc w:val="lef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（2）影响行业发展的有利和不利因素，行业周期性，以及区域性或季节性特征；</w:t>
            </w:r>
          </w:p>
          <w:p w14:paraId="698907A8">
            <w:pPr>
              <w:ind w:firstLine="480" w:firstLineChars="200"/>
              <w:jc w:val="lef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（3）行业技术水平及技术特点，经营模式，以及行业在技术、产业、业态、模式等方面的创新情况及发展趋势等；</w:t>
            </w:r>
          </w:p>
          <w:p w14:paraId="066D954C">
            <w:pPr>
              <w:ind w:firstLine="480" w:firstLineChars="200"/>
              <w:jc w:val="lef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（4）所处行业与上下游行业之间的关联性，上下游行业发展状况对该行业及其发展前景的有利和不利影响；</w:t>
            </w:r>
          </w:p>
          <w:p w14:paraId="1295E96F">
            <w:pPr>
              <w:ind w:firstLine="480" w:firstLineChars="200"/>
              <w:jc w:val="lef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（5）拟购买资产的核心竞争力及行业地位；</w:t>
            </w:r>
          </w:p>
          <w:p w14:paraId="3BC27550">
            <w:pPr>
              <w:ind w:firstLine="480" w:firstLineChars="200"/>
              <w:jc w:val="left"/>
              <w:rPr>
                <w:rFonts w:hint="default" w:ascii="Times New Roman" w:hAnsi="Times New Roman" w:eastAsia="仿宋_GB2312" w:cs="Times New Roman"/>
                <w:bCs/>
                <w:kern w:val="0"/>
                <w:sz w:val="24"/>
                <w:szCs w:val="24"/>
                <w:highlight w:val="none"/>
              </w:rPr>
            </w:pPr>
            <w:r>
              <w:rPr>
                <w:rFonts w:hint="default" w:ascii="Times New Roman" w:hAnsi="Times New Roman" w:eastAsia="仿宋_GB2312" w:cs="Times New Roman"/>
                <w:kern w:val="0"/>
                <w:sz w:val="24"/>
                <w:szCs w:val="24"/>
                <w:highlight w:val="none"/>
              </w:rPr>
              <w:t>（6）拟购买资产境外购销业务比例较大的，应当披露产品进出口国同类产品的竞争格局等情况。</w:t>
            </w:r>
          </w:p>
        </w:tc>
        <w:tc>
          <w:tcPr>
            <w:tcW w:w="5141" w:type="dxa"/>
            <w:tcBorders>
              <w:top w:val="single" w:color="000000" w:sz="4" w:space="0"/>
              <w:left w:val="single" w:color="000000" w:sz="4" w:space="0"/>
              <w:bottom w:val="single" w:color="000000" w:sz="4" w:space="0"/>
              <w:right w:val="single" w:color="000000" w:sz="4" w:space="0"/>
            </w:tcBorders>
            <w:noWrap/>
          </w:tcPr>
          <w:p w14:paraId="5A8D4FF7">
            <w:pPr>
              <w:ind w:firstLine="480" w:firstLineChars="200"/>
              <w:jc w:val="left"/>
              <w:rPr>
                <w:rFonts w:hint="default" w:ascii="Times New Roman" w:hAnsi="Times New Roman" w:eastAsia="仿宋_GB2312" w:cs="Times New Roman"/>
                <w:bCs/>
                <w:kern w:val="2"/>
                <w:sz w:val="24"/>
                <w:szCs w:val="24"/>
                <w:highlight w:val="none"/>
              </w:rPr>
            </w:pPr>
            <w:r>
              <w:rPr>
                <w:rFonts w:hint="default" w:ascii="Times New Roman" w:hAnsi="Times New Roman" w:eastAsia="仿宋_GB2312" w:cs="Times New Roman"/>
                <w:bCs/>
                <w:kern w:val="2"/>
                <w:sz w:val="24"/>
                <w:szCs w:val="24"/>
                <w:highlight w:val="none"/>
              </w:rPr>
              <w:t>独立财务顾问应当对以下事项进行核查，并在《独立财务顾问报告》中发表明确核查意见：</w:t>
            </w:r>
          </w:p>
          <w:p w14:paraId="514967C7">
            <w:pPr>
              <w:ind w:firstLine="480" w:firstLineChars="200"/>
              <w:jc w:val="left"/>
              <w:rPr>
                <w:rFonts w:hint="default" w:ascii="Times New Roman" w:hAnsi="Times New Roman" w:eastAsia="仿宋_GB2312" w:cs="Times New Roman"/>
                <w:bCs/>
                <w:kern w:val="2"/>
                <w:sz w:val="24"/>
                <w:szCs w:val="24"/>
                <w:highlight w:val="none"/>
              </w:rPr>
            </w:pPr>
            <w:r>
              <w:rPr>
                <w:rFonts w:hint="default" w:ascii="Times New Roman" w:hAnsi="Times New Roman" w:eastAsia="仿宋_GB2312" w:cs="Times New Roman"/>
                <w:bCs/>
                <w:kern w:val="2"/>
                <w:sz w:val="24"/>
                <w:szCs w:val="24"/>
                <w:highlight w:val="none"/>
              </w:rPr>
              <w:t>（1）拟购买资产所属行业选取的合理性，相关产业政策、国际贸易政策等对行业发展的影响；与生产经营密切相关的主要法律法规、行业政策的具体变化情况，相关趋势和变化对拟购买资产的具体影响；</w:t>
            </w:r>
          </w:p>
          <w:p w14:paraId="4FBE9DDE">
            <w:pPr>
              <w:ind w:firstLine="480" w:firstLineChars="200"/>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（2）同行业可比公司的选取是否客观、全面、准确，是否具有可比性，前后是否一致；</w:t>
            </w:r>
          </w:p>
          <w:p w14:paraId="1EE03A6C">
            <w:pPr>
              <w:ind w:firstLine="480" w:firstLineChars="200"/>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（3）是否引用第三方数据，所引用数据的真实性及权威性。</w:t>
            </w:r>
          </w:p>
        </w:tc>
        <w:tc>
          <w:tcPr>
            <w:tcW w:w="1701" w:type="dxa"/>
            <w:tcBorders>
              <w:top w:val="single" w:color="000000" w:sz="4" w:space="0"/>
              <w:left w:val="single" w:color="000000" w:sz="4" w:space="0"/>
              <w:bottom w:val="single" w:color="000000" w:sz="4" w:space="0"/>
              <w:right w:val="single" w:color="000000" w:sz="4" w:space="0"/>
            </w:tcBorders>
            <w:noWrap/>
          </w:tcPr>
          <w:p w14:paraId="1E82C2AF">
            <w:pPr>
              <w:jc w:val="lef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bCs/>
                <w:sz w:val="24"/>
                <w:szCs w:val="24"/>
                <w:highlight w:val="none"/>
              </w:rPr>
              <w:t>《26号格式准则》第三十三条，《重组审核规则》第十五条</w:t>
            </w:r>
          </w:p>
        </w:tc>
      </w:tr>
      <w:tr w14:paraId="7B589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864" w:type="dxa"/>
            <w:tcBorders>
              <w:top w:val="single" w:color="000000" w:sz="4" w:space="0"/>
              <w:left w:val="single" w:color="000000" w:sz="4" w:space="0"/>
              <w:bottom w:val="single" w:color="000000" w:sz="4" w:space="0"/>
              <w:right w:val="single" w:color="000000" w:sz="4" w:space="0"/>
            </w:tcBorders>
            <w:noWrap/>
            <w:vAlign w:val="center"/>
          </w:tcPr>
          <w:p w14:paraId="32DD7E60">
            <w:pPr>
              <w:jc w:val="center"/>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4-2</w:t>
            </w:r>
          </w:p>
        </w:tc>
        <w:tc>
          <w:tcPr>
            <w:tcW w:w="1393" w:type="dxa"/>
            <w:tcBorders>
              <w:top w:val="single" w:color="000000" w:sz="4" w:space="0"/>
              <w:left w:val="single" w:color="000000" w:sz="4" w:space="0"/>
              <w:bottom w:val="single" w:color="000000" w:sz="4" w:space="0"/>
              <w:right w:val="single" w:color="000000" w:sz="4" w:space="0"/>
            </w:tcBorders>
            <w:noWrap/>
            <w:vAlign w:val="center"/>
          </w:tcPr>
          <w:p w14:paraId="22199948">
            <w:pPr>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主要客户和供应商</w:t>
            </w:r>
          </w:p>
        </w:tc>
        <w:tc>
          <w:tcPr>
            <w:tcW w:w="4901" w:type="dxa"/>
            <w:tcBorders>
              <w:top w:val="single" w:color="000000" w:sz="4" w:space="0"/>
              <w:left w:val="single" w:color="000000" w:sz="4" w:space="0"/>
              <w:bottom w:val="single" w:color="000000" w:sz="4" w:space="0"/>
              <w:right w:val="single" w:color="000000" w:sz="4" w:space="0"/>
            </w:tcBorders>
            <w:noWrap/>
            <w:vAlign w:val="center"/>
          </w:tcPr>
          <w:p w14:paraId="18A608E6">
            <w:pPr>
              <w:ind w:firstLine="480" w:firstLineChars="20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上市公司应当在重组报告书中披露：</w:t>
            </w:r>
          </w:p>
          <w:p w14:paraId="17DF9067">
            <w:pPr>
              <w:ind w:firstLine="480" w:firstLineChars="20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（1）拟购买资产报告期各期主要产品（或服务）的产能、产量、期初及期末库存、销量、销售收入，产品（或服务）的主要消费群体、销售价格的变动情况；</w:t>
            </w:r>
          </w:p>
          <w:p w14:paraId="65033CFD">
            <w:pPr>
              <w:ind w:firstLine="480" w:firstLineChars="20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（2）存在多种销售模式的，应披露各种销售模式的销售额及占当期销售总额的比重；</w:t>
            </w:r>
          </w:p>
          <w:p w14:paraId="75C04F3C">
            <w:pPr>
              <w:ind w:firstLine="480" w:firstLineChars="20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（3）报告期各期拟购买资产向前五名客户合计的销售额占当期销售总额的百分比，向单个客户的销售比例超过总额的</w:t>
            </w:r>
            <w:r>
              <w:rPr>
                <w:rFonts w:hint="default" w:ascii="Times New Roman" w:hAnsi="Times New Roman" w:eastAsia="仿宋_GB2312" w:cs="Times New Roman"/>
                <w:sz w:val="24"/>
                <w:szCs w:val="24"/>
                <w:highlight w:val="none"/>
                <w:lang w:val="en-US" w:eastAsia="zh-CN"/>
              </w:rPr>
              <w:t>50%、新增属于前五名客户</w:t>
            </w:r>
            <w:r>
              <w:rPr>
                <w:rFonts w:hint="default" w:ascii="Times New Roman" w:hAnsi="Times New Roman" w:eastAsia="仿宋_GB2312" w:cs="Times New Roman"/>
                <w:sz w:val="24"/>
                <w:szCs w:val="24"/>
                <w:highlight w:val="none"/>
              </w:rPr>
              <w:t>或严重依赖于少数客户的，应当披露其名称及销售比例。如该客户为交易对方及其关联方，则应当披露产品最终实现销售的情况；</w:t>
            </w:r>
          </w:p>
          <w:p w14:paraId="6075ADE8">
            <w:pPr>
              <w:ind w:firstLine="480" w:firstLineChars="20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（4）拟购买资产报告期内主要产品的原材料和</w:t>
            </w:r>
            <w:r>
              <w:rPr>
                <w:rFonts w:hint="default" w:ascii="Times New Roman" w:hAnsi="Times New Roman" w:eastAsia="仿宋_GB2312" w:cs="Times New Roman"/>
                <w:color w:val="000000"/>
                <w:sz w:val="24"/>
                <w:szCs w:val="24"/>
                <w:highlight w:val="none"/>
              </w:rPr>
              <w:t>能源及其供应情况、价格变动趋势、占成本的比重。报告期各期向前五名供应商合计的采购额占当期采购总额的百分比，向单个供应商的采购比例超过总额的</w:t>
            </w:r>
            <w:r>
              <w:rPr>
                <w:rFonts w:hint="default" w:ascii="Times New Roman" w:hAnsi="Times New Roman" w:eastAsia="仿宋_GB2312" w:cs="Times New Roman"/>
                <w:color w:val="000000"/>
                <w:sz w:val="24"/>
                <w:szCs w:val="24"/>
                <w:highlight w:val="none"/>
                <w:lang w:val="en-US" w:eastAsia="zh-CN"/>
              </w:rPr>
              <w:t>50%、新增属于前五名供应商</w:t>
            </w:r>
            <w:r>
              <w:rPr>
                <w:rFonts w:hint="default" w:ascii="Times New Roman" w:hAnsi="Times New Roman" w:eastAsia="仿宋_GB2312" w:cs="Times New Roman"/>
                <w:color w:val="000000"/>
                <w:sz w:val="24"/>
                <w:szCs w:val="24"/>
                <w:highlight w:val="none"/>
              </w:rPr>
              <w:t>或严重依赖于少数供应商的，应当披露其名称及采购比例；</w:t>
            </w:r>
          </w:p>
          <w:p w14:paraId="09BF4048">
            <w:pPr>
              <w:ind w:firstLine="480" w:firstLineChars="20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（5）拟购买资产报告期内董事、监事、高级管理人员和核心技术人员，其他主要关联方或持股</w:t>
            </w:r>
            <w:r>
              <w:rPr>
                <w:rFonts w:hint="default" w:ascii="Times New Roman" w:hAnsi="Times New Roman" w:eastAsia="仿宋_GB2312" w:cs="Times New Roman"/>
                <w:sz w:val="24"/>
                <w:szCs w:val="24"/>
                <w:highlight w:val="none"/>
                <w:lang w:val="en-US" w:eastAsia="zh-CN"/>
              </w:rPr>
              <w:t>5%</w:t>
            </w:r>
            <w:r>
              <w:rPr>
                <w:rFonts w:hint="default" w:ascii="Times New Roman" w:hAnsi="Times New Roman" w:eastAsia="仿宋_GB2312" w:cs="Times New Roman"/>
                <w:sz w:val="24"/>
                <w:szCs w:val="24"/>
                <w:highlight w:val="none"/>
              </w:rPr>
              <w:t>以上股份的股东在前五名供应商或客户中所占的权益（如有）。</w:t>
            </w:r>
          </w:p>
        </w:tc>
        <w:tc>
          <w:tcPr>
            <w:tcW w:w="5141" w:type="dxa"/>
            <w:tcBorders>
              <w:top w:val="single" w:color="000000" w:sz="4" w:space="0"/>
              <w:left w:val="single" w:color="000000" w:sz="4" w:space="0"/>
              <w:bottom w:val="single" w:color="000000" w:sz="4" w:space="0"/>
              <w:right w:val="single" w:color="000000" w:sz="4" w:space="0"/>
            </w:tcBorders>
            <w:noWrap/>
            <w:vAlign w:val="center"/>
          </w:tcPr>
          <w:p w14:paraId="1A6D64B0">
            <w:pPr>
              <w:ind w:firstLine="480" w:firstLineChars="20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独立财务顾问应当对以下事项进行核查，并在《独立财务顾问报告》中发表明确核查意见：</w:t>
            </w:r>
          </w:p>
          <w:p w14:paraId="11D5F3C9">
            <w:pPr>
              <w:ind w:firstLine="480" w:firstLineChars="20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报告期各期拟购买资产前五大客户、供应商的基本情况，与前五大客户、供应商的交易内容、交易金额及占比情况，交易定价的公允性，与标的资产业务规模的匹配性；报告期各期前五大客户、供应商发生较大变化的，对同一客户、供应商交易金额存在重大变化的，核查变化的原因及合理性；</w:t>
            </w:r>
          </w:p>
          <w:p w14:paraId="72A1B01B">
            <w:pPr>
              <w:ind w:firstLine="480" w:firstLineChars="20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（2）报告期内拟购买资产涉及新增客户或供应商且金额较大的，核查基本情况、新增交易的原因及可持续性；涉及成立时间较短的客户或供应商且金额较大的，核查合作背景、原因及合理性；</w:t>
            </w:r>
          </w:p>
          <w:p w14:paraId="369D7BDC">
            <w:pPr>
              <w:ind w:firstLine="480" w:firstLineChars="20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（3）拟购买资产及其控股股东、实际控制人、董监高及其他核心人员与前五大客户、供应商是否存在关联关系；</w:t>
            </w:r>
          </w:p>
          <w:p w14:paraId="3648F010">
            <w:pPr>
              <w:ind w:firstLine="480" w:firstLineChars="20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拟购买资产客户或供应商集中度较高的，核查相关情况的合理性，是否符合行业特征、与同行业可比公司的对比情况，业务的稳定性和可持续性，相关交易的定价原则及公允性，集中度较高是否对标的资产持续经营能力构成重大不利影响。</w:t>
            </w:r>
          </w:p>
          <w:p w14:paraId="0CA243C7">
            <w:pPr>
              <w:ind w:firstLine="480" w:firstLineChars="200"/>
              <w:jc w:val="left"/>
              <w:rPr>
                <w:rFonts w:hint="default" w:ascii="Times New Roman" w:hAnsi="Times New Roman" w:eastAsia="仿宋" w:cs="Times New Roman"/>
                <w:spacing w:val="-16"/>
                <w:sz w:val="24"/>
                <w:szCs w:val="24"/>
                <w:highlight w:val="none"/>
              </w:rPr>
            </w:pPr>
            <w:r>
              <w:rPr>
                <w:rFonts w:hint="default" w:ascii="Times New Roman" w:hAnsi="Times New Roman" w:eastAsia="仿宋_GB2312" w:cs="Times New Roman"/>
                <w:bCs/>
                <w:sz w:val="24"/>
                <w:szCs w:val="24"/>
                <w:highlight w:val="none"/>
              </w:rPr>
              <w:t>会计师应对上述事项进行核查，并发表明确核查意见。</w:t>
            </w:r>
          </w:p>
        </w:tc>
        <w:tc>
          <w:tcPr>
            <w:tcW w:w="1701" w:type="dxa"/>
            <w:tcBorders>
              <w:top w:val="single" w:color="000000" w:sz="4" w:space="0"/>
              <w:left w:val="single" w:color="000000" w:sz="4" w:space="0"/>
              <w:bottom w:val="single" w:color="000000" w:sz="4" w:space="0"/>
              <w:right w:val="single" w:color="000000" w:sz="4" w:space="0"/>
            </w:tcBorders>
            <w:noWrap/>
          </w:tcPr>
          <w:p w14:paraId="24D0C424">
            <w:pP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Cs/>
                <w:sz w:val="24"/>
                <w:szCs w:val="24"/>
                <w:highlight w:val="none"/>
              </w:rPr>
              <w:t>《26号格式准则》第二十一条，《重组审核规则》第十五条</w:t>
            </w:r>
          </w:p>
        </w:tc>
      </w:tr>
      <w:tr w14:paraId="5B83E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864" w:type="dxa"/>
            <w:tcBorders>
              <w:top w:val="single" w:color="000000" w:sz="4" w:space="0"/>
              <w:left w:val="single" w:color="000000" w:sz="4" w:space="0"/>
              <w:bottom w:val="single" w:color="000000" w:sz="4" w:space="0"/>
              <w:right w:val="single" w:color="000000" w:sz="4" w:space="0"/>
            </w:tcBorders>
            <w:noWrap/>
            <w:vAlign w:val="center"/>
          </w:tcPr>
          <w:p w14:paraId="1F2630CE">
            <w:pPr>
              <w:jc w:val="center"/>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4-3</w:t>
            </w:r>
          </w:p>
        </w:tc>
        <w:tc>
          <w:tcPr>
            <w:tcW w:w="1393" w:type="dxa"/>
            <w:tcBorders>
              <w:top w:val="single" w:color="000000" w:sz="4" w:space="0"/>
              <w:left w:val="single" w:color="000000" w:sz="4" w:space="0"/>
              <w:bottom w:val="single" w:color="000000" w:sz="4" w:space="0"/>
              <w:right w:val="single" w:color="000000" w:sz="4" w:space="0"/>
            </w:tcBorders>
            <w:noWrap/>
            <w:vAlign w:val="center"/>
          </w:tcPr>
          <w:p w14:paraId="5C5BE313">
            <w:pPr>
              <w:rPr>
                <w:rFonts w:hint="default" w:ascii="Times New Roman" w:hAnsi="Times New Roman" w:eastAsia="仿宋_GB2312" w:cs="Times New Roman"/>
                <w:b/>
                <w:sz w:val="24"/>
                <w:szCs w:val="24"/>
                <w:highlight w:val="none"/>
              </w:rPr>
            </w:pPr>
            <w:r>
              <w:rPr>
                <w:rFonts w:hint="default" w:ascii="Times New Roman" w:hAnsi="Times New Roman" w:eastAsia="仿宋_GB2312" w:cs="Times New Roman"/>
                <w:b/>
                <w:sz w:val="24"/>
                <w:szCs w:val="24"/>
                <w:highlight w:val="none"/>
              </w:rPr>
              <w:t>财务状况</w:t>
            </w:r>
          </w:p>
        </w:tc>
        <w:tc>
          <w:tcPr>
            <w:tcW w:w="4901" w:type="dxa"/>
            <w:tcBorders>
              <w:top w:val="single" w:color="000000" w:sz="4" w:space="0"/>
              <w:left w:val="single" w:color="000000" w:sz="4" w:space="0"/>
              <w:bottom w:val="single" w:color="000000" w:sz="4" w:space="0"/>
              <w:right w:val="single" w:color="000000" w:sz="4" w:space="0"/>
            </w:tcBorders>
            <w:noWrap/>
            <w:vAlign w:val="center"/>
          </w:tcPr>
          <w:p w14:paraId="56700B49">
            <w:pPr>
              <w:ind w:firstLine="480" w:firstLineChars="20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上市公司应当在重组报告书中披露：</w:t>
            </w:r>
          </w:p>
          <w:p w14:paraId="607938BC">
            <w:pPr>
              <w:numPr>
                <w:ilvl w:val="0"/>
                <w:numId w:val="9"/>
              </w:numPr>
              <w:ind w:firstLine="480" w:firstLineChars="20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资产、负债的主要构成及分析。对于重要资产类项目，分析其变动原因以及与拟购买资产业务的匹配性，对于应收账款、存货、固定资产以及商誉等项目，充分论证其减值损失计提的充分性；</w:t>
            </w:r>
          </w:p>
          <w:p w14:paraId="0373AF90">
            <w:pPr>
              <w:numPr>
                <w:ilvl w:val="0"/>
                <w:numId w:val="9"/>
              </w:numPr>
              <w:ind w:firstLine="480" w:firstLineChars="20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报告期流动比率、速动比率、资产负债率、利息保障倍数的变动趋势以及与同行业可比公司的对比情况。拟购买资产报告期经营活动产生的现金流量净额为负数或者远低于当期净利润的，分析相关原因；</w:t>
            </w:r>
          </w:p>
          <w:p w14:paraId="0FBEBFF0">
            <w:pPr>
              <w:numPr>
                <w:ilvl w:val="0"/>
                <w:numId w:val="9"/>
              </w:numPr>
              <w:ind w:firstLine="480" w:firstLineChars="20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报告期应收账款周转率、存货周转率等反映资产周转能力的财务指标的变动趋势，并结合生产模式、销售模式及赊销政策等情况，分析拟购买资产的周转能力；</w:t>
            </w:r>
          </w:p>
          <w:p w14:paraId="604E15A2">
            <w:pPr>
              <w:numPr>
                <w:ilvl w:val="0"/>
                <w:numId w:val="9"/>
              </w:numPr>
              <w:ind w:firstLine="480" w:firstLineChars="20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Cs/>
                <w:sz w:val="24"/>
                <w:szCs w:val="24"/>
                <w:highlight w:val="none"/>
              </w:rPr>
              <w:t>最近一期末持有金额较大的财务性投资的，分析其对拟购买资产资金安排的影响、投资期限、拟购买资产对投资的监管方案、投资的可回收性及对生产经营的影响。</w:t>
            </w:r>
          </w:p>
        </w:tc>
        <w:tc>
          <w:tcPr>
            <w:tcW w:w="5141" w:type="dxa"/>
            <w:tcBorders>
              <w:top w:val="single" w:color="000000" w:sz="4" w:space="0"/>
              <w:left w:val="single" w:color="000000" w:sz="4" w:space="0"/>
              <w:bottom w:val="single" w:color="000000" w:sz="4" w:space="0"/>
              <w:right w:val="single" w:color="000000" w:sz="4" w:space="0"/>
            </w:tcBorders>
            <w:noWrap/>
          </w:tcPr>
          <w:p w14:paraId="6916AE33">
            <w:pPr>
              <w:ind w:firstLine="480" w:firstLineChars="200"/>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独立财务顾问应当对以下事项进行核查，并在《独立财务顾问报告》中发表明确核查意见：</w:t>
            </w:r>
          </w:p>
          <w:p w14:paraId="6A08DDCE">
            <w:pPr>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（1）结合拟购买资产的行业特点、规模特征、销售模式等，核查拟购买资产财务状况的真实性、与业务模式的匹配性；</w:t>
            </w:r>
          </w:p>
          <w:p w14:paraId="68CD26DA">
            <w:pPr>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（2）拟购买资产应收账款坏账准备计提政策的合理性，计提比例是否与同行业上市公司存在显著差异及具体原因；结合应收账款的主要构成、账龄结构、主要</w:t>
            </w:r>
            <w:r>
              <w:rPr>
                <w:rFonts w:hint="default" w:ascii="Times New Roman" w:hAnsi="Times New Roman" w:eastAsia="仿宋_GB2312" w:cs="Times New Roman"/>
                <w:kern w:val="0"/>
                <w:sz w:val="24"/>
                <w:szCs w:val="24"/>
                <w:highlight w:val="none"/>
              </w:rPr>
              <w:t>客户信用或财务状况、期后回款进度</w:t>
            </w:r>
            <w:r>
              <w:rPr>
                <w:rFonts w:hint="default" w:ascii="Times New Roman" w:hAnsi="Times New Roman" w:eastAsia="仿宋_GB2312" w:cs="Times New Roman"/>
                <w:sz w:val="24"/>
                <w:szCs w:val="24"/>
                <w:highlight w:val="none"/>
              </w:rPr>
              <w:t>等因素，核查拟购买资产应收账款是否存在较大的可收回风险及坏账损失计提的充分性；</w:t>
            </w:r>
          </w:p>
          <w:p w14:paraId="2A665919">
            <w:pPr>
              <w:snapToGrid w:val="0"/>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拟购买资产的固定资产的使用状况，是否存在长期未使用或毁损的固定资产；重要固定资产折旧政策与同行业可比公司相比是否合理，折旧费用计提是否充分；固定资产可收回金额确定方法是否恰当，减值测试方法、关键假设及参数是否合理，资产减值相关会计处理是否准确；</w:t>
            </w:r>
          </w:p>
          <w:p w14:paraId="048588D0">
            <w:pPr>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w:t>
            </w:r>
            <w:r>
              <w:rPr>
                <w:rFonts w:hint="default" w:ascii="Times New Roman" w:hAnsi="Times New Roman" w:eastAsia="仿宋_GB2312" w:cs="Times New Roman"/>
                <w:bCs/>
                <w:sz w:val="24"/>
                <w:szCs w:val="24"/>
                <w:highlight w:val="none"/>
              </w:rPr>
              <w:t>结合拟购买资产各存货类别的库龄情况、产品的保质期、订单覆盖情况、单位产品结存成本与预计售价等因素核查存货跌价准备计提是否充分，</w:t>
            </w:r>
            <w:r>
              <w:rPr>
                <w:rFonts w:hint="default" w:ascii="Times New Roman" w:hAnsi="Times New Roman" w:eastAsia="仿宋_GB2312" w:cs="Times New Roman"/>
                <w:sz w:val="24"/>
                <w:szCs w:val="24"/>
                <w:highlight w:val="none"/>
              </w:rPr>
              <w:t>对报告期存货实施的监盘程序、监盘范围、监盘比例及监盘结果；</w:t>
            </w:r>
          </w:p>
          <w:p w14:paraId="3385AFAC">
            <w:pPr>
              <w:snapToGrid w:val="0"/>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（5）如存在企业合并中识别并确认无形资产的情形，核查无形资产的确认和计量是否符合《企业会计准则》相关规定，是否存在减值风险；</w:t>
            </w:r>
          </w:p>
          <w:p w14:paraId="2816AD9C">
            <w:pPr>
              <w:ind w:firstLine="480" w:firstLineChars="200"/>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（6）拟购买资产财务性投资的具体情况、可回收性以及对生产经营的影响。</w:t>
            </w:r>
          </w:p>
          <w:p w14:paraId="61DB11F2">
            <w:pPr>
              <w:ind w:firstLine="480" w:firstLineChars="200"/>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sz w:val="24"/>
                <w:szCs w:val="24"/>
                <w:highlight w:val="none"/>
              </w:rPr>
              <w:t>会计师应对上述事项进行核查，并发表明确核查意见。</w:t>
            </w:r>
          </w:p>
        </w:tc>
        <w:tc>
          <w:tcPr>
            <w:tcW w:w="1701" w:type="dxa"/>
            <w:tcBorders>
              <w:top w:val="single" w:color="000000" w:sz="4" w:space="0"/>
              <w:left w:val="single" w:color="000000" w:sz="4" w:space="0"/>
              <w:bottom w:val="single" w:color="000000" w:sz="4" w:space="0"/>
              <w:right w:val="single" w:color="000000" w:sz="4" w:space="0"/>
            </w:tcBorders>
            <w:noWrap/>
          </w:tcPr>
          <w:p w14:paraId="4628D49E">
            <w:pPr>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Cs/>
                <w:sz w:val="24"/>
                <w:szCs w:val="24"/>
                <w:highlight w:val="none"/>
              </w:rPr>
              <w:t>《26号格式准则》第三十三条，《重组审核规则》第十五条</w:t>
            </w:r>
          </w:p>
        </w:tc>
      </w:tr>
      <w:tr w14:paraId="4F46B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864" w:type="dxa"/>
            <w:tcBorders>
              <w:top w:val="single" w:color="000000" w:sz="4" w:space="0"/>
              <w:left w:val="single" w:color="000000" w:sz="4" w:space="0"/>
              <w:bottom w:val="single" w:color="000000" w:sz="4" w:space="0"/>
              <w:right w:val="single" w:color="000000" w:sz="4" w:space="0"/>
            </w:tcBorders>
            <w:noWrap/>
            <w:vAlign w:val="center"/>
          </w:tcPr>
          <w:p w14:paraId="18312E28">
            <w:pPr>
              <w:jc w:val="center"/>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4-4</w:t>
            </w:r>
          </w:p>
        </w:tc>
        <w:tc>
          <w:tcPr>
            <w:tcW w:w="1393" w:type="dxa"/>
            <w:tcBorders>
              <w:top w:val="single" w:color="000000" w:sz="4" w:space="0"/>
              <w:left w:val="single" w:color="000000" w:sz="4" w:space="0"/>
              <w:bottom w:val="single" w:color="000000" w:sz="4" w:space="0"/>
              <w:right w:val="single" w:color="000000" w:sz="4" w:space="0"/>
            </w:tcBorders>
            <w:noWrap/>
            <w:vAlign w:val="center"/>
          </w:tcPr>
          <w:p w14:paraId="74343FE7">
            <w:pPr>
              <w:autoSpaceDE w:val="0"/>
              <w:autoSpaceDN w:val="0"/>
              <w:adjustRightInd w:val="0"/>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经营成果</w:t>
            </w:r>
          </w:p>
        </w:tc>
        <w:tc>
          <w:tcPr>
            <w:tcW w:w="4901" w:type="dxa"/>
            <w:tcBorders>
              <w:top w:val="single" w:color="000000" w:sz="4" w:space="0"/>
              <w:left w:val="single" w:color="000000" w:sz="4" w:space="0"/>
              <w:bottom w:val="single" w:color="000000" w:sz="4" w:space="0"/>
              <w:right w:val="single" w:color="000000" w:sz="4" w:space="0"/>
            </w:tcBorders>
            <w:noWrap/>
            <w:vAlign w:val="center"/>
          </w:tcPr>
          <w:p w14:paraId="3E6DD3E2">
            <w:pPr>
              <w:ind w:firstLine="480" w:firstLineChars="20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上市公司应当在重组报告书中披露：</w:t>
            </w:r>
          </w:p>
          <w:p w14:paraId="13948B43">
            <w:pPr>
              <w:ind w:firstLine="480" w:firstLineChars="20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分析营业收入增减变化的情况及原因；营业收入存在季节性波动的，披露与行业特征的一致性，与同行业公司的可比性；拟购买资产存在经销模式、线上销售、境外销售等特殊情形的，应当进行针对性分析，并说明终端销售情况；</w:t>
            </w:r>
          </w:p>
          <w:p w14:paraId="5F6D7058">
            <w:pPr>
              <w:ind w:firstLine="480" w:firstLineChars="20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（2）报告期主要成本项目构成及变动原因；结合主要原材料、能源等采购对象的数量与价格变动，分析营业成本增减变化的影响因素；</w:t>
            </w:r>
          </w:p>
          <w:p w14:paraId="758AC332">
            <w:pPr>
              <w:ind w:firstLine="480" w:firstLineChars="20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（3）结合拟购买资产所从事主营业务、采用的经营模式及行业竞争情况，分析报告期利润的主要来源、可能影响盈利能力连续性和稳定性的主要因素；</w:t>
            </w:r>
          </w:p>
          <w:p w14:paraId="184B4AC3">
            <w:pPr>
              <w:ind w:firstLine="480" w:firstLineChars="20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（4）结合利润构成及资产周转能力等说明盈利能力的驱动要素及其可持续性；</w:t>
            </w:r>
          </w:p>
          <w:p w14:paraId="42687ADA">
            <w:pPr>
              <w:ind w:firstLine="480" w:firstLineChars="20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（5）按照利润表项目逐项分析报告期经营成果变化的原因，对于变动幅度较大的项目应当重点说明；</w:t>
            </w:r>
          </w:p>
          <w:p w14:paraId="67F5F6FE">
            <w:pPr>
              <w:ind w:firstLine="480" w:firstLineChars="20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（6）报告期内拟购买资产主要产品的毛利率及变动情况，与同行业公司可比产品的对比情况；报告期发生重大变化的，量化分析毛利率变动的影响因素及影响程度；</w:t>
            </w:r>
          </w:p>
          <w:p w14:paraId="6EB147AD">
            <w:pPr>
              <w:ind w:firstLine="480" w:firstLineChars="20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（7）报告期非经常性损益的构成及原因，非经常性损益（如财政补贴）是否具备持续性，非经常性损益对盈利稳定性的影响及影响原因；</w:t>
            </w:r>
          </w:p>
          <w:p w14:paraId="068F931A">
            <w:pPr>
              <w:ind w:firstLine="480" w:firstLineChars="20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（8）报告期投资收益、少数股东损益对经营成果有重大影响的，应当分析原因及对盈利稳定性的影响；</w:t>
            </w:r>
          </w:p>
          <w:p w14:paraId="45A93DBF">
            <w:pPr>
              <w:ind w:firstLine="480" w:firstLineChars="20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（9）报告期销售费用、管理费用、研发费用、财务费用的主要构成，如存在较大变动的，应当披露变动原因；与同行业可比公司存在显著差异的，应结合业务特点和经营模式分析原因。</w:t>
            </w:r>
          </w:p>
        </w:tc>
        <w:tc>
          <w:tcPr>
            <w:tcW w:w="5141" w:type="dxa"/>
            <w:tcBorders>
              <w:top w:val="single" w:color="000000" w:sz="4" w:space="0"/>
              <w:left w:val="single" w:color="000000" w:sz="4" w:space="0"/>
              <w:bottom w:val="single" w:color="000000" w:sz="4" w:space="0"/>
              <w:right w:val="single" w:color="000000" w:sz="4" w:space="0"/>
            </w:tcBorders>
            <w:noWrap/>
            <w:vAlign w:val="center"/>
          </w:tcPr>
          <w:p w14:paraId="6C424EF9">
            <w:pPr>
              <w:ind w:firstLine="480" w:firstLineChars="200"/>
              <w:jc w:val="left"/>
              <w:rPr>
                <w:rFonts w:hint="default" w:ascii="Times New Roman" w:hAnsi="Times New Roman" w:eastAsia="仿宋_GB2312" w:cs="Times New Roman"/>
                <w:kern w:val="0"/>
                <w:sz w:val="24"/>
                <w:szCs w:val="24"/>
                <w:highlight w:val="none"/>
              </w:rPr>
            </w:pPr>
            <w:r>
              <w:rPr>
                <w:rFonts w:hint="default" w:ascii="Times New Roman" w:hAnsi="Times New Roman" w:eastAsia="仿宋_GB2312" w:cs="Times New Roman"/>
                <w:kern w:val="0"/>
                <w:sz w:val="24"/>
                <w:szCs w:val="24"/>
                <w:highlight w:val="none"/>
              </w:rPr>
              <w:t>独立财务顾问应当对以下事项进行核查，并在《独立财务顾问报告》中发表明确核查意见：</w:t>
            </w:r>
          </w:p>
          <w:p w14:paraId="7903BC6A">
            <w:pPr>
              <w:ind w:firstLine="480" w:firstLineChars="20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（1）拟购买资产收入结构变动的原因，收入变动与同行业可比公司存在较大差异的，核查相关原因及合理性；拟购买资产收入季节性、境内外分布与同行业可比公司存在</w:t>
            </w:r>
            <w:r>
              <w:rPr>
                <w:rFonts w:hint="default" w:ascii="Times New Roman" w:hAnsi="Times New Roman" w:eastAsia="仿宋_GB2312" w:cs="Times New Roman"/>
                <w:sz w:val="24"/>
                <w:szCs w:val="24"/>
                <w:highlight w:val="none"/>
                <w:lang w:val="en-US" w:eastAsia="zh-CN"/>
              </w:rPr>
              <w:t>较大</w:t>
            </w:r>
            <w:r>
              <w:rPr>
                <w:rFonts w:hint="default" w:ascii="Times New Roman" w:hAnsi="Times New Roman" w:eastAsia="仿宋_GB2312" w:cs="Times New Roman"/>
                <w:sz w:val="24"/>
                <w:szCs w:val="24"/>
                <w:highlight w:val="none"/>
              </w:rPr>
              <w:t>差异的，核查相关情况的合理性；</w:t>
            </w:r>
          </w:p>
          <w:p w14:paraId="6AA62E5D">
            <w:pPr>
              <w:ind w:firstLine="480" w:firstLineChars="20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（2）拟购买资产具体收入确认政策，是否与合同约定及实际执行情况相匹配，是否与同行业可比公司存在</w:t>
            </w:r>
            <w:r>
              <w:rPr>
                <w:rFonts w:hint="default" w:ascii="Times New Roman" w:hAnsi="Times New Roman" w:eastAsia="仿宋_GB2312" w:cs="Times New Roman"/>
                <w:sz w:val="24"/>
                <w:szCs w:val="24"/>
                <w:highlight w:val="none"/>
                <w:lang w:val="en-US" w:eastAsia="zh-CN"/>
              </w:rPr>
              <w:t>较大</w:t>
            </w:r>
            <w:r>
              <w:rPr>
                <w:rFonts w:hint="default" w:ascii="Times New Roman" w:hAnsi="Times New Roman" w:eastAsia="仿宋_GB2312" w:cs="Times New Roman"/>
                <w:sz w:val="24"/>
                <w:szCs w:val="24"/>
                <w:highlight w:val="none"/>
              </w:rPr>
              <w:t>差异，是否符合《企业会计准则》以及相关规则的规定；</w:t>
            </w:r>
          </w:p>
          <w:p w14:paraId="3C86FF25">
            <w:pPr>
              <w:ind w:firstLine="480" w:firstLineChars="20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3）对拟购买资产收入核查的方法、过程、比例和结论，若存在多种销售模式、在多个国家地区开展业务等情形，请分别说明有关情况；对于报告期收入存在特殊情形的，如新增主要客户较多、收入增长显著异常于行业趋势等，独立财务顾问是否采取了补充的收入真实性验证核查程序；</w:t>
            </w:r>
          </w:p>
          <w:p w14:paraId="2FD59E6E">
            <w:pPr>
              <w:ind w:firstLine="480" w:firstLineChars="20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（4）拟购买资产收入变动及其与成本、费用等财务数据之间的配比关系是否合理；</w:t>
            </w:r>
          </w:p>
          <w:p w14:paraId="603A7569">
            <w:pPr>
              <w:ind w:firstLine="480" w:firstLineChars="20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（5）拟购买资产成本归集方法、成本归集的准确性和完整性；成本构成与同行业可比公司存在较大差异的，核查相关原因及合理性；</w:t>
            </w:r>
          </w:p>
          <w:p w14:paraId="34E21DFE">
            <w:pPr>
              <w:ind w:firstLine="480" w:firstLineChars="20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（6）拟购买资产主要产品毛利率波动的原因，相关产品毛利率与同行业可比公司存在较大差异的，核查相关原因及合理性；</w:t>
            </w:r>
          </w:p>
          <w:p w14:paraId="68CCBFEE">
            <w:pPr>
              <w:ind w:firstLine="480" w:firstLineChars="200"/>
              <w:jc w:val="left"/>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（7）</w:t>
            </w:r>
            <w:r>
              <w:rPr>
                <w:rFonts w:hint="default" w:ascii="Times New Roman" w:hAnsi="Times New Roman" w:eastAsia="仿宋_GB2312" w:cs="Times New Roman"/>
                <w:bCs/>
                <w:sz w:val="24"/>
                <w:szCs w:val="24"/>
                <w:highlight w:val="none"/>
              </w:rPr>
              <w:t>报告期内销售费用、管理费用或研发费用是否存在较大波动及其原因，相关费用</w:t>
            </w:r>
            <w:r>
              <w:rPr>
                <w:rFonts w:hint="default" w:ascii="Times New Roman" w:hAnsi="Times New Roman" w:eastAsia="仿宋_GB2312" w:cs="Times New Roman"/>
                <w:sz w:val="24"/>
                <w:szCs w:val="24"/>
                <w:highlight w:val="none"/>
              </w:rPr>
              <w:t>占营业收入的比重与同行业可比公司是否存在较大差异及其合理性</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rPr>
              <w:t>销售费用以及市场推广活动的合法合规性，推广活动所涉各项费用的真实性和完整性</w:t>
            </w:r>
            <w:r>
              <w:rPr>
                <w:rFonts w:hint="default" w:ascii="Times New Roman" w:hAnsi="Times New Roman" w:eastAsia="仿宋_GB2312" w:cs="Times New Roman"/>
                <w:sz w:val="24"/>
                <w:szCs w:val="24"/>
                <w:highlight w:val="none"/>
                <w:lang w:eastAsia="zh-CN"/>
              </w:rPr>
              <w:t>；</w:t>
            </w:r>
          </w:p>
          <w:p w14:paraId="21F1457F">
            <w:pPr>
              <w:ind w:firstLine="480" w:firstLineChars="20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kern w:val="0"/>
                <w:sz w:val="24"/>
                <w:szCs w:val="24"/>
                <w:highlight w:val="none"/>
              </w:rPr>
              <w:t>（</w:t>
            </w:r>
            <w:r>
              <w:rPr>
                <w:rFonts w:hint="default" w:ascii="Times New Roman" w:hAnsi="Times New Roman" w:eastAsia="仿宋_GB2312" w:cs="Times New Roman"/>
                <w:kern w:val="0"/>
                <w:sz w:val="24"/>
                <w:szCs w:val="24"/>
                <w:highlight w:val="none"/>
                <w:lang w:val="en-US" w:eastAsia="zh-CN"/>
              </w:rPr>
              <w:t>8</w:t>
            </w:r>
            <w:r>
              <w:rPr>
                <w:rFonts w:hint="default" w:ascii="Times New Roman" w:hAnsi="Times New Roman" w:eastAsia="仿宋_GB2312" w:cs="Times New Roman"/>
                <w:kern w:val="0"/>
                <w:sz w:val="24"/>
                <w:szCs w:val="24"/>
                <w:highlight w:val="none"/>
              </w:rPr>
              <w:t>）拟购买资产经营活动现金净流量持续为负或者远低于净利润的，核查其原因及主要影响，并就其是否影响持续经营能力发表明确核查意见</w:t>
            </w:r>
            <w:r>
              <w:rPr>
                <w:rFonts w:hint="default" w:ascii="Times New Roman" w:hAnsi="Times New Roman" w:eastAsia="仿宋_GB2312" w:cs="Times New Roman"/>
                <w:sz w:val="24"/>
                <w:szCs w:val="24"/>
                <w:highlight w:val="none"/>
              </w:rPr>
              <w:t>；</w:t>
            </w:r>
          </w:p>
          <w:p w14:paraId="685C2866">
            <w:pPr>
              <w:ind w:firstLine="480" w:firstLineChars="200"/>
              <w:jc w:val="left"/>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kern w:val="0"/>
                <w:sz w:val="24"/>
                <w:szCs w:val="24"/>
                <w:highlight w:val="none"/>
              </w:rPr>
              <w:t>（9）对拟购买资产盈利能力连续性和稳定性的核查过程和核查结论。</w:t>
            </w:r>
            <w:r>
              <w:rPr>
                <w:rFonts w:hint="default" w:ascii="Times New Roman" w:hAnsi="Times New Roman" w:eastAsia="仿宋_GB2312" w:cs="Times New Roman"/>
                <w:kern w:val="0"/>
                <w:sz w:val="24"/>
                <w:szCs w:val="24"/>
                <w:highlight w:val="none"/>
                <w:lang w:val="en-US" w:eastAsia="zh-CN"/>
              </w:rPr>
              <w:t>如拟购买资产未盈利，核查是否影响上市公司持续经营能力并设置中小投资者利益保护相关安排，是否有助于上市公司补链强链、提升关键技术水平。</w:t>
            </w:r>
          </w:p>
          <w:p w14:paraId="1724341B">
            <w:pPr>
              <w:ind w:firstLine="480" w:firstLineChars="200"/>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会计师应对上述事项进行核查，并发表明确核查意见。</w:t>
            </w:r>
          </w:p>
        </w:tc>
        <w:tc>
          <w:tcPr>
            <w:tcW w:w="1701" w:type="dxa"/>
            <w:tcBorders>
              <w:top w:val="single" w:color="000000" w:sz="4" w:space="0"/>
              <w:left w:val="single" w:color="000000" w:sz="4" w:space="0"/>
              <w:bottom w:val="single" w:color="000000" w:sz="4" w:space="0"/>
              <w:right w:val="single" w:color="000000" w:sz="4" w:space="0"/>
            </w:tcBorders>
            <w:noWrap/>
          </w:tcPr>
          <w:p w14:paraId="751C3D75">
            <w:pPr>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Cs/>
                <w:sz w:val="24"/>
                <w:szCs w:val="24"/>
                <w:highlight w:val="none"/>
                <w:lang w:eastAsia="zh-CN"/>
              </w:rPr>
              <w:t>《重组办法》第十一条、第四十四条，</w:t>
            </w:r>
            <w:r>
              <w:rPr>
                <w:rFonts w:hint="default" w:ascii="Times New Roman" w:hAnsi="Times New Roman" w:eastAsia="仿宋_GB2312" w:cs="Times New Roman"/>
                <w:bCs/>
                <w:sz w:val="24"/>
                <w:szCs w:val="24"/>
                <w:highlight w:val="none"/>
              </w:rPr>
              <w:t>《26号格式准则》第</w:t>
            </w:r>
            <w:r>
              <w:rPr>
                <w:rFonts w:hint="default" w:ascii="Times New Roman" w:hAnsi="Times New Roman" w:eastAsia="仿宋_GB2312" w:cs="Times New Roman"/>
                <w:bCs/>
                <w:sz w:val="24"/>
                <w:szCs w:val="24"/>
                <w:highlight w:val="none"/>
                <w:lang w:eastAsia="zh-CN"/>
              </w:rPr>
              <w:t>三十三</w:t>
            </w:r>
            <w:r>
              <w:rPr>
                <w:rFonts w:hint="default" w:ascii="Times New Roman" w:hAnsi="Times New Roman" w:eastAsia="仿宋_GB2312" w:cs="Times New Roman"/>
                <w:bCs/>
                <w:sz w:val="24"/>
                <w:szCs w:val="24"/>
                <w:highlight w:val="none"/>
              </w:rPr>
              <w:t>条，《重组审核规则》第十五条</w:t>
            </w:r>
          </w:p>
        </w:tc>
      </w:tr>
    </w:tbl>
    <w:p w14:paraId="143070C1">
      <w:pPr>
        <w:rPr>
          <w:rFonts w:hint="default" w:ascii="Times New Roman" w:hAnsi="Times New Roman" w:cs="Times New Roman"/>
          <w:color w:val="000000" w:themeColor="text1"/>
          <w:highlight w:val="none"/>
          <w14:textFill>
            <w14:solidFill>
              <w14:schemeClr w14:val="tx1"/>
            </w14:solidFill>
          </w14:textFill>
        </w:rPr>
      </w:pPr>
    </w:p>
    <w:tbl>
      <w:tblPr>
        <w:tblStyle w:val="12"/>
        <w:tblW w:w="140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4"/>
        <w:gridCol w:w="1393"/>
        <w:gridCol w:w="4901"/>
        <w:gridCol w:w="5141"/>
        <w:gridCol w:w="1701"/>
      </w:tblGrid>
      <w:tr w14:paraId="64E2B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blHeader/>
        </w:trPr>
        <w:tc>
          <w:tcPr>
            <w:tcW w:w="14000" w:type="dxa"/>
            <w:gridSpan w:val="5"/>
            <w:tcBorders>
              <w:top w:val="single" w:color="000000" w:sz="4" w:space="0"/>
              <w:left w:val="single" w:color="000000" w:sz="4" w:space="0"/>
              <w:bottom w:val="single" w:color="000000" w:sz="4" w:space="0"/>
              <w:right w:val="single" w:color="000000" w:sz="4" w:space="0"/>
            </w:tcBorders>
            <w:shd w:val="clear" w:color="auto" w:fill="8DB3E2"/>
            <w:noWrap/>
            <w:vAlign w:val="center"/>
          </w:tcPr>
          <w:p w14:paraId="4E463841">
            <w:pPr>
              <w:spacing w:line="280" w:lineRule="exact"/>
              <w:jc w:val="center"/>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五、其他</w:t>
            </w:r>
          </w:p>
        </w:tc>
      </w:tr>
      <w:tr w14:paraId="15506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864" w:type="dxa"/>
            <w:tcBorders>
              <w:top w:val="single" w:color="000000" w:sz="4" w:space="0"/>
              <w:left w:val="single" w:color="000000" w:sz="4" w:space="0"/>
              <w:bottom w:val="single" w:color="000000" w:sz="4" w:space="0"/>
              <w:right w:val="single" w:color="000000" w:sz="4" w:space="0"/>
            </w:tcBorders>
            <w:noWrap/>
            <w:vAlign w:val="center"/>
          </w:tcPr>
          <w:p w14:paraId="14A9369D">
            <w:pPr>
              <w:jc w:val="center"/>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序号</w:t>
            </w:r>
          </w:p>
        </w:tc>
        <w:tc>
          <w:tcPr>
            <w:tcW w:w="1393" w:type="dxa"/>
            <w:tcBorders>
              <w:top w:val="single" w:color="000000" w:sz="4" w:space="0"/>
              <w:left w:val="single" w:color="000000" w:sz="4" w:space="0"/>
              <w:bottom w:val="single" w:color="000000" w:sz="4" w:space="0"/>
              <w:right w:val="single" w:color="000000" w:sz="4" w:space="0"/>
            </w:tcBorders>
            <w:noWrap/>
            <w:vAlign w:val="center"/>
          </w:tcPr>
          <w:p w14:paraId="7BBD02AC">
            <w:pPr>
              <w:jc w:val="center"/>
              <w:rPr>
                <w:rFonts w:hint="default" w:ascii="Times New Roman" w:hAnsi="Times New Roman" w:eastAsia="仿宋_GB2312" w:cs="Times New Roman"/>
                <w:b/>
                <w:bCs/>
                <w:kern w:val="0"/>
                <w:sz w:val="24"/>
                <w:szCs w:val="24"/>
                <w:highlight w:val="none"/>
              </w:rPr>
            </w:pPr>
            <w:r>
              <w:rPr>
                <w:rFonts w:hint="default" w:ascii="Times New Roman" w:hAnsi="Times New Roman" w:eastAsia="仿宋_GB2312" w:cs="Times New Roman"/>
                <w:b/>
                <w:bCs/>
                <w:kern w:val="0"/>
                <w:sz w:val="24"/>
                <w:szCs w:val="24"/>
                <w:highlight w:val="none"/>
              </w:rPr>
              <w:t>问题</w:t>
            </w:r>
          </w:p>
        </w:tc>
        <w:tc>
          <w:tcPr>
            <w:tcW w:w="4901" w:type="dxa"/>
            <w:tcBorders>
              <w:top w:val="single" w:color="000000" w:sz="4" w:space="0"/>
              <w:left w:val="single" w:color="000000" w:sz="4" w:space="0"/>
              <w:bottom w:val="single" w:color="000000" w:sz="4" w:space="0"/>
              <w:right w:val="single" w:color="000000" w:sz="4" w:space="0"/>
            </w:tcBorders>
            <w:noWrap/>
            <w:vAlign w:val="center"/>
          </w:tcPr>
          <w:p w14:paraId="5F07D790">
            <w:pPr>
              <w:jc w:val="center"/>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披露要求</w:t>
            </w:r>
          </w:p>
        </w:tc>
        <w:tc>
          <w:tcPr>
            <w:tcW w:w="5141" w:type="dxa"/>
            <w:tcBorders>
              <w:top w:val="single" w:color="000000" w:sz="4" w:space="0"/>
              <w:left w:val="single" w:color="000000" w:sz="4" w:space="0"/>
              <w:bottom w:val="single" w:color="000000" w:sz="4" w:space="0"/>
              <w:right w:val="single" w:color="000000" w:sz="4" w:space="0"/>
            </w:tcBorders>
            <w:noWrap/>
            <w:vAlign w:val="center"/>
          </w:tcPr>
          <w:p w14:paraId="1833A079">
            <w:pPr>
              <w:jc w:val="center"/>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核查要求</w:t>
            </w:r>
          </w:p>
        </w:tc>
        <w:tc>
          <w:tcPr>
            <w:tcW w:w="1701" w:type="dxa"/>
            <w:tcBorders>
              <w:top w:val="single" w:color="000000" w:sz="4" w:space="0"/>
              <w:left w:val="single" w:color="000000" w:sz="4" w:space="0"/>
              <w:bottom w:val="single" w:color="000000" w:sz="4" w:space="0"/>
              <w:right w:val="single" w:color="000000" w:sz="4" w:space="0"/>
            </w:tcBorders>
            <w:noWrap/>
            <w:vAlign w:val="center"/>
          </w:tcPr>
          <w:p w14:paraId="0DEF2366">
            <w:pPr>
              <w:jc w:val="center"/>
              <w:rPr>
                <w:rFonts w:hint="default" w:ascii="Times New Roman" w:hAnsi="Times New Roman" w:eastAsia="仿宋_GB2312" w:cs="Times New Roman"/>
                <w:b/>
                <w:kern w:val="0"/>
                <w:sz w:val="24"/>
                <w:szCs w:val="24"/>
                <w:highlight w:val="none"/>
              </w:rPr>
            </w:pPr>
            <w:r>
              <w:rPr>
                <w:rFonts w:hint="default" w:ascii="Times New Roman" w:hAnsi="Times New Roman" w:eastAsia="仿宋_GB2312" w:cs="Times New Roman"/>
                <w:b/>
                <w:kern w:val="0"/>
                <w:sz w:val="24"/>
                <w:szCs w:val="24"/>
                <w:highlight w:val="none"/>
              </w:rPr>
              <w:t>参考规范</w:t>
            </w:r>
          </w:p>
        </w:tc>
      </w:tr>
      <w:tr w14:paraId="65EC7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864" w:type="dxa"/>
            <w:tcBorders>
              <w:top w:val="single" w:color="000000" w:sz="4" w:space="0"/>
              <w:left w:val="single" w:color="000000" w:sz="4" w:space="0"/>
              <w:bottom w:val="single" w:color="000000" w:sz="4" w:space="0"/>
              <w:right w:val="single" w:color="000000" w:sz="4" w:space="0"/>
            </w:tcBorders>
            <w:noWrap/>
            <w:vAlign w:val="center"/>
          </w:tcPr>
          <w:p w14:paraId="32EF5897">
            <w:pPr>
              <w:jc w:val="center"/>
              <w:rPr>
                <w:rFonts w:hint="default" w:ascii="Times New Roman" w:hAnsi="Times New Roman" w:eastAsia="仿宋_GB2312" w:cs="Times New Roman"/>
                <w:b/>
                <w:bCs/>
                <w:kern w:val="0"/>
                <w:sz w:val="24"/>
                <w:highlight w:val="none"/>
                <w:lang w:val="en-US" w:eastAsia="zh-CN"/>
              </w:rPr>
            </w:pPr>
            <w:r>
              <w:rPr>
                <w:rFonts w:hint="default" w:ascii="Times New Roman" w:hAnsi="Times New Roman" w:eastAsia="仿宋_GB2312" w:cs="Times New Roman"/>
                <w:b/>
                <w:bCs/>
                <w:kern w:val="0"/>
                <w:sz w:val="24"/>
                <w:highlight w:val="none"/>
                <w:lang w:val="en-US" w:eastAsia="zh-CN"/>
              </w:rPr>
              <w:t>5-1</w:t>
            </w:r>
          </w:p>
        </w:tc>
        <w:tc>
          <w:tcPr>
            <w:tcW w:w="1393" w:type="dxa"/>
            <w:tcBorders>
              <w:top w:val="single" w:color="000000" w:sz="4" w:space="0"/>
              <w:left w:val="single" w:color="000000" w:sz="4" w:space="0"/>
              <w:bottom w:val="single" w:color="000000" w:sz="4" w:space="0"/>
              <w:right w:val="single" w:color="000000" w:sz="4" w:space="0"/>
            </w:tcBorders>
            <w:noWrap/>
            <w:vAlign w:val="center"/>
          </w:tcPr>
          <w:p w14:paraId="18300FE5">
            <w:pPr>
              <w:rPr>
                <w:rFonts w:hint="default" w:ascii="Times New Roman" w:hAnsi="Times New Roman" w:eastAsia="仿宋_GB2312" w:cs="Times New Roman"/>
                <w:b/>
                <w:kern w:val="0"/>
                <w:sz w:val="24"/>
                <w:highlight w:val="none"/>
                <w:lang w:val="en-US" w:eastAsia="zh-CN"/>
              </w:rPr>
            </w:pPr>
            <w:r>
              <w:rPr>
                <w:rFonts w:hint="default" w:ascii="Times New Roman" w:hAnsi="Times New Roman" w:eastAsia="仿宋_GB2312" w:cs="Times New Roman"/>
                <w:b/>
                <w:kern w:val="0"/>
                <w:sz w:val="24"/>
                <w:highlight w:val="none"/>
                <w:lang w:val="en-US" w:eastAsia="zh-CN"/>
              </w:rPr>
              <w:t>审核程序</w:t>
            </w:r>
          </w:p>
        </w:tc>
        <w:tc>
          <w:tcPr>
            <w:tcW w:w="4901" w:type="dxa"/>
            <w:tcBorders>
              <w:top w:val="single" w:color="000000" w:sz="4" w:space="0"/>
              <w:left w:val="single" w:color="000000" w:sz="4" w:space="0"/>
              <w:bottom w:val="single" w:color="000000" w:sz="4" w:space="0"/>
              <w:right w:val="single" w:color="000000" w:sz="4" w:space="0"/>
            </w:tcBorders>
            <w:noWrap/>
          </w:tcPr>
          <w:p w14:paraId="48526277">
            <w:pPr>
              <w:ind w:firstLine="480" w:firstLineChars="200"/>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lang w:val="en-US" w:eastAsia="zh-CN"/>
              </w:rPr>
              <w:t>上市公司申请适用简易审核程序的，</w:t>
            </w:r>
            <w:r>
              <w:rPr>
                <w:rFonts w:hint="default" w:ascii="Times New Roman" w:hAnsi="Times New Roman" w:eastAsia="仿宋_GB2312" w:cs="Times New Roman"/>
                <w:kern w:val="0"/>
                <w:sz w:val="24"/>
                <w:highlight w:val="none"/>
              </w:rPr>
              <w:t>上市公司及其控股股东、实际控制人、董事、高级管理人员应当在重组报告书中就本次交易符合重组条件、信息披露要求以及适用简易审核程序要求作出承诺。</w:t>
            </w:r>
          </w:p>
        </w:tc>
        <w:tc>
          <w:tcPr>
            <w:tcW w:w="5141" w:type="dxa"/>
            <w:tcBorders>
              <w:top w:val="single" w:color="000000" w:sz="4" w:space="0"/>
              <w:left w:val="single" w:color="000000" w:sz="4" w:space="0"/>
              <w:bottom w:val="single" w:color="000000" w:sz="4" w:space="0"/>
              <w:right w:val="single" w:color="000000" w:sz="4" w:space="0"/>
            </w:tcBorders>
            <w:noWrap/>
          </w:tcPr>
          <w:p w14:paraId="6DC3ACBF">
            <w:pPr>
              <w:widowControl/>
              <w:ind w:firstLine="480" w:firstLineChars="200"/>
              <w:rPr>
                <w:rFonts w:hint="default" w:ascii="Times New Roman" w:hAnsi="Times New Roman" w:eastAsia="仿宋_GB2312" w:cs="Times New Roman"/>
                <w:kern w:val="0"/>
                <w:sz w:val="24"/>
                <w:highlight w:val="none"/>
                <w:lang w:val="en-US" w:eastAsia="zh-CN"/>
              </w:rPr>
            </w:pPr>
            <w:r>
              <w:rPr>
                <w:rFonts w:hint="default" w:ascii="Times New Roman" w:hAnsi="Times New Roman" w:eastAsia="仿宋_GB2312" w:cs="Times New Roman"/>
                <w:kern w:val="0"/>
                <w:sz w:val="24"/>
                <w:highlight w:val="none"/>
                <w:lang w:val="en-US" w:eastAsia="zh-CN"/>
              </w:rPr>
              <w:t>上市公司申请适用简易审核程序的，独立财务顾问应当按照《重组审核规则》第五十七条、第五十八条规定进行核查并提交专项意见。</w:t>
            </w:r>
          </w:p>
          <w:p w14:paraId="09F1C4EA">
            <w:pPr>
              <w:widowControl/>
              <w:ind w:firstLine="480" w:firstLineChars="200"/>
              <w:rPr>
                <w:rFonts w:hint="default" w:ascii="Times New Roman" w:hAnsi="Times New Roman" w:eastAsia="仿宋_GB2312" w:cs="Times New Roman"/>
                <w:kern w:val="0"/>
                <w:sz w:val="24"/>
                <w:highlight w:val="none"/>
                <w:lang w:val="en-US" w:eastAsia="zh-CN"/>
              </w:rPr>
            </w:pPr>
            <w:r>
              <w:rPr>
                <w:rFonts w:hint="default" w:ascii="Times New Roman" w:hAnsi="Times New Roman" w:eastAsia="仿宋_GB2312" w:cs="Times New Roman"/>
                <w:kern w:val="0"/>
                <w:sz w:val="24"/>
                <w:highlight w:val="none"/>
                <w:lang w:val="en-US" w:eastAsia="zh-CN"/>
              </w:rPr>
              <w:t>上市公司申请适用快速审核程序的，独立财务顾问应当按照《重组审核规则》第四十三条规定进行核查并提交专项意见。上市公司申请适用“小额快速”审核程序的，独立财务顾问应当按照《重组审核规则》第四十四条、第四十五条规定进行核查并提交专项意见。</w:t>
            </w:r>
          </w:p>
          <w:p w14:paraId="34790668">
            <w:pPr>
              <w:widowControl/>
              <w:ind w:firstLine="480" w:firstLineChars="200"/>
              <w:rPr>
                <w:rFonts w:hint="default" w:ascii="Times New Roman" w:hAnsi="Times New Roman" w:eastAsia="仿宋_GB2312" w:cs="Times New Roman"/>
                <w:kern w:val="0"/>
                <w:sz w:val="24"/>
                <w:highlight w:val="none"/>
                <w:lang w:val="en-US" w:eastAsia="zh-CN"/>
              </w:rPr>
            </w:pPr>
          </w:p>
        </w:tc>
        <w:tc>
          <w:tcPr>
            <w:tcW w:w="1701" w:type="dxa"/>
            <w:tcBorders>
              <w:top w:val="single" w:color="000000" w:sz="4" w:space="0"/>
              <w:left w:val="single" w:color="000000" w:sz="4" w:space="0"/>
              <w:bottom w:val="single" w:color="000000" w:sz="4" w:space="0"/>
              <w:right w:val="single" w:color="000000" w:sz="4" w:space="0"/>
            </w:tcBorders>
            <w:noWrap/>
          </w:tcPr>
          <w:p w14:paraId="35E81226">
            <w:pPr>
              <w:rPr>
                <w:rFonts w:hint="default" w:ascii="Times New Roman" w:hAnsi="Times New Roman" w:eastAsia="仿宋_GB2312" w:cs="Times New Roman"/>
                <w:sz w:val="24"/>
                <w:highlight w:val="none"/>
                <w:lang w:val="en-US"/>
              </w:rPr>
            </w:pPr>
            <w:r>
              <w:rPr>
                <w:rFonts w:hint="default" w:ascii="Times New Roman" w:hAnsi="Times New Roman" w:eastAsia="仿宋_GB2312" w:cs="Times New Roman"/>
                <w:sz w:val="24"/>
                <w:highlight w:val="none"/>
                <w:lang w:val="en-US" w:eastAsia="zh-CN"/>
              </w:rPr>
              <w:t>《重组办法》第二十七条、第二十八条，《重组审核规则》第四十三条、第四十四条、第四十五条、第五十七条、第五十八条、第五十九条</w:t>
            </w:r>
          </w:p>
        </w:tc>
      </w:tr>
      <w:tr w14:paraId="2F43E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864" w:type="dxa"/>
            <w:tcBorders>
              <w:top w:val="single" w:color="000000" w:sz="4" w:space="0"/>
              <w:left w:val="single" w:color="000000" w:sz="4" w:space="0"/>
              <w:bottom w:val="single" w:color="000000" w:sz="4" w:space="0"/>
              <w:right w:val="single" w:color="000000" w:sz="4" w:space="0"/>
            </w:tcBorders>
            <w:noWrap/>
            <w:vAlign w:val="center"/>
          </w:tcPr>
          <w:p w14:paraId="3EF7CC2F">
            <w:pPr>
              <w:jc w:val="center"/>
              <w:rPr>
                <w:rFonts w:hint="default" w:ascii="Times New Roman" w:hAnsi="Times New Roman" w:eastAsia="仿宋_GB2312" w:cs="Times New Roman"/>
                <w:b/>
                <w:bCs/>
                <w:kern w:val="0"/>
                <w:sz w:val="24"/>
                <w:highlight w:val="none"/>
                <w:lang w:eastAsia="zh-CN"/>
              </w:rPr>
            </w:pPr>
            <w:r>
              <w:rPr>
                <w:rFonts w:hint="default" w:ascii="Times New Roman" w:hAnsi="Times New Roman" w:eastAsia="仿宋_GB2312" w:cs="Times New Roman"/>
                <w:b/>
                <w:bCs/>
                <w:kern w:val="0"/>
                <w:sz w:val="24"/>
                <w:highlight w:val="none"/>
              </w:rPr>
              <w:t>5-</w:t>
            </w:r>
            <w:r>
              <w:rPr>
                <w:rFonts w:hint="default" w:ascii="Times New Roman" w:hAnsi="Times New Roman" w:eastAsia="仿宋_GB2312" w:cs="Times New Roman"/>
                <w:b/>
                <w:bCs/>
                <w:kern w:val="0"/>
                <w:sz w:val="24"/>
                <w:highlight w:val="none"/>
                <w:lang w:val="en-US" w:eastAsia="zh-CN"/>
              </w:rPr>
              <w:t>2</w:t>
            </w:r>
          </w:p>
        </w:tc>
        <w:tc>
          <w:tcPr>
            <w:tcW w:w="1393" w:type="dxa"/>
            <w:tcBorders>
              <w:top w:val="single" w:color="000000" w:sz="4" w:space="0"/>
              <w:left w:val="single" w:color="000000" w:sz="4" w:space="0"/>
              <w:bottom w:val="single" w:color="000000" w:sz="4" w:space="0"/>
              <w:right w:val="single" w:color="000000" w:sz="4" w:space="0"/>
            </w:tcBorders>
            <w:noWrap/>
            <w:vAlign w:val="center"/>
          </w:tcPr>
          <w:p w14:paraId="32E0DCE4">
            <w:pPr>
              <w:rPr>
                <w:rFonts w:hint="default" w:ascii="Times New Roman" w:hAnsi="Times New Roman" w:eastAsia="仿宋_GB2312" w:cs="Times New Roman"/>
                <w:b/>
                <w:bCs/>
                <w:kern w:val="0"/>
                <w:sz w:val="24"/>
                <w:highlight w:val="none"/>
              </w:rPr>
            </w:pPr>
            <w:r>
              <w:rPr>
                <w:rFonts w:hint="default" w:ascii="Times New Roman" w:hAnsi="Times New Roman" w:eastAsia="仿宋_GB2312" w:cs="Times New Roman"/>
                <w:b/>
                <w:kern w:val="0"/>
                <w:sz w:val="24"/>
                <w:highlight w:val="none"/>
              </w:rPr>
              <w:t>信息披露要求及信息披露豁免</w:t>
            </w:r>
          </w:p>
        </w:tc>
        <w:tc>
          <w:tcPr>
            <w:tcW w:w="4901" w:type="dxa"/>
            <w:tcBorders>
              <w:top w:val="single" w:color="000000" w:sz="4" w:space="0"/>
              <w:left w:val="single" w:color="000000" w:sz="4" w:space="0"/>
              <w:bottom w:val="single" w:color="000000" w:sz="4" w:space="0"/>
              <w:right w:val="single" w:color="000000" w:sz="4" w:space="0"/>
            </w:tcBorders>
            <w:noWrap/>
          </w:tcPr>
          <w:p w14:paraId="2828C616">
            <w:pPr>
              <w:ind w:firstLine="480" w:firstLineChars="200"/>
              <w:rPr>
                <w:rFonts w:hint="default" w:ascii="Times New Roman" w:hAnsi="Times New Roman" w:eastAsia="仿宋_GB2312" w:cs="Times New Roman"/>
                <w:kern w:val="0"/>
                <w:sz w:val="24"/>
                <w:highlight w:val="none"/>
                <w:lang w:eastAsia="zh-CN"/>
              </w:rPr>
            </w:pPr>
            <w:r>
              <w:rPr>
                <w:rFonts w:hint="default" w:ascii="Times New Roman" w:hAnsi="Times New Roman" w:eastAsia="仿宋_GB2312" w:cs="Times New Roman"/>
                <w:kern w:val="0"/>
                <w:sz w:val="24"/>
                <w:highlight w:val="none"/>
              </w:rPr>
              <w:t>上市公司重大资产重组信息披露文件应当真实、准确、完整</w:t>
            </w:r>
            <w:r>
              <w:rPr>
                <w:rFonts w:hint="default" w:ascii="Times New Roman" w:hAnsi="Times New Roman" w:eastAsia="仿宋_GB2312" w:cs="Times New Roman"/>
                <w:kern w:val="0"/>
                <w:sz w:val="24"/>
                <w:highlight w:val="none"/>
                <w:lang w:eastAsia="zh-CN"/>
              </w:rPr>
              <w:t>，</w:t>
            </w:r>
            <w:r>
              <w:rPr>
                <w:rFonts w:hint="default" w:ascii="Times New Roman" w:hAnsi="Times New Roman" w:eastAsia="仿宋_GB2312" w:cs="Times New Roman"/>
                <w:kern w:val="0"/>
                <w:sz w:val="24"/>
                <w:highlight w:val="none"/>
              </w:rPr>
              <w:t>逻辑清晰、简明扼要，具有可读性和可理解性，便于投资者阅读</w:t>
            </w:r>
            <w:r>
              <w:rPr>
                <w:rFonts w:hint="default" w:ascii="Times New Roman" w:hAnsi="Times New Roman" w:eastAsia="仿宋_GB2312" w:cs="Times New Roman"/>
                <w:kern w:val="0"/>
                <w:sz w:val="24"/>
                <w:highlight w:val="none"/>
                <w:lang w:eastAsia="zh-CN"/>
              </w:rPr>
              <w:t>。</w:t>
            </w:r>
          </w:p>
          <w:p w14:paraId="42A1D35C">
            <w:pPr>
              <w:ind w:firstLine="480" w:firstLineChars="200"/>
              <w:rPr>
                <w:rFonts w:hint="default" w:ascii="Times New Roman" w:hAnsi="Times New Roman" w:eastAsia="仿宋_GB2312" w:cs="Times New Roman"/>
                <w:bCs/>
                <w:kern w:val="0"/>
                <w:sz w:val="24"/>
                <w:highlight w:val="none"/>
              </w:rPr>
            </w:pPr>
            <w:r>
              <w:rPr>
                <w:rFonts w:hint="default" w:ascii="Times New Roman" w:hAnsi="Times New Roman" w:eastAsia="仿宋_GB2312" w:cs="Times New Roman"/>
                <w:kern w:val="0"/>
                <w:sz w:val="24"/>
                <w:highlight w:val="none"/>
              </w:rPr>
              <w:t>涉及国家机密、商业秘密（如核心技术的保密资料、商业合同的具体内容等）等特殊原因，无法披露或提供相关信息或文件的，应当在相关章节中详细说明原因。</w:t>
            </w:r>
          </w:p>
        </w:tc>
        <w:tc>
          <w:tcPr>
            <w:tcW w:w="5141" w:type="dxa"/>
            <w:tcBorders>
              <w:top w:val="single" w:color="000000" w:sz="4" w:space="0"/>
              <w:left w:val="single" w:color="000000" w:sz="4" w:space="0"/>
              <w:bottom w:val="single" w:color="000000" w:sz="4" w:space="0"/>
              <w:right w:val="single" w:color="000000" w:sz="4" w:space="0"/>
            </w:tcBorders>
            <w:noWrap/>
          </w:tcPr>
          <w:p w14:paraId="679FF382">
            <w:pPr>
              <w:ind w:firstLine="480" w:firstLineChars="200"/>
              <w:rPr>
                <w:rFonts w:hint="default" w:ascii="Times New Roman" w:hAnsi="Times New Roman" w:eastAsia="仿宋_GB2312" w:cs="Times New Roman"/>
                <w:bCs/>
                <w:kern w:val="0"/>
                <w:sz w:val="24"/>
                <w:highlight w:val="none"/>
              </w:rPr>
            </w:pPr>
            <w:r>
              <w:rPr>
                <w:rFonts w:hint="default" w:ascii="Times New Roman" w:hAnsi="Times New Roman" w:eastAsia="仿宋_GB2312" w:cs="Times New Roman"/>
                <w:bCs/>
                <w:kern w:val="0"/>
                <w:sz w:val="24"/>
                <w:highlight w:val="none"/>
              </w:rPr>
              <w:t>独立财务顾问应对以下事项进行核查，并在《独立财务顾问报告》中发表明确核查意见：</w:t>
            </w:r>
          </w:p>
          <w:p w14:paraId="150F7E2C">
            <w:pPr>
              <w:ind w:firstLine="480" w:firstLineChars="200"/>
              <w:rPr>
                <w:rFonts w:hint="default" w:ascii="Times New Roman" w:hAnsi="Times New Roman" w:eastAsia="仿宋_GB2312" w:cs="Times New Roman"/>
                <w:bCs/>
                <w:kern w:val="0"/>
                <w:sz w:val="24"/>
                <w:highlight w:val="none"/>
              </w:rPr>
            </w:pPr>
            <w:r>
              <w:rPr>
                <w:rFonts w:hint="default" w:ascii="Times New Roman" w:hAnsi="Times New Roman" w:eastAsia="仿宋_GB2312" w:cs="Times New Roman"/>
                <w:bCs/>
                <w:kern w:val="0"/>
                <w:sz w:val="24"/>
                <w:highlight w:val="none"/>
              </w:rPr>
              <w:t>（1）申请文件及问询回复中的相关信息是否真实、准确、完整，包含对投资者作出投资决策有重大影响的信息，披露程度达到投资者作出投资决策所必需的水平；</w:t>
            </w:r>
          </w:p>
          <w:p w14:paraId="71FA7432">
            <w:pPr>
              <w:ind w:firstLine="480" w:firstLineChars="200"/>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bCs/>
                <w:kern w:val="0"/>
                <w:sz w:val="24"/>
                <w:highlight w:val="none"/>
              </w:rPr>
              <w:t>（2）所披露的信息一致、合理且具有内在逻辑性；简明易懂，便于一般投资者阅读和理解；</w:t>
            </w:r>
          </w:p>
          <w:p w14:paraId="15EE6514">
            <w:pPr>
              <w:ind w:firstLine="480" w:firstLineChars="200"/>
              <w:rPr>
                <w:rFonts w:hint="default" w:ascii="Times New Roman" w:hAnsi="Times New Roman" w:eastAsia="仿宋_GB2312" w:cs="Times New Roman"/>
                <w:bCs/>
                <w:kern w:val="0"/>
                <w:sz w:val="24"/>
                <w:highlight w:val="none"/>
              </w:rPr>
            </w:pPr>
            <w:r>
              <w:rPr>
                <w:rFonts w:hint="default" w:ascii="Times New Roman" w:hAnsi="Times New Roman" w:eastAsia="仿宋_GB2312" w:cs="Times New Roman"/>
                <w:kern w:val="0"/>
                <w:sz w:val="24"/>
                <w:highlight w:val="none"/>
              </w:rPr>
              <w:t>（3）上市公司未进行披露或提供相关信息或文件的原因及合理性，相关信息或文件是否影响投资者决策判断、是否为已公开信息；</w:t>
            </w:r>
          </w:p>
          <w:p w14:paraId="2680E403">
            <w:pPr>
              <w:ind w:firstLine="480" w:firstLineChars="200"/>
              <w:rPr>
                <w:rFonts w:hint="default" w:ascii="Times New Roman" w:hAnsi="Times New Roman" w:eastAsia="仿宋_GB2312" w:cs="Times New Roman"/>
                <w:bCs/>
                <w:kern w:val="0"/>
                <w:sz w:val="24"/>
                <w:highlight w:val="none"/>
              </w:rPr>
            </w:pPr>
            <w:r>
              <w:rPr>
                <w:rFonts w:hint="default" w:ascii="Times New Roman" w:hAnsi="Times New Roman" w:eastAsia="仿宋_GB2312" w:cs="Times New Roman"/>
                <w:bCs/>
                <w:kern w:val="0"/>
                <w:sz w:val="24"/>
                <w:highlight w:val="none"/>
              </w:rPr>
              <w:t>律师应对上述事项进行核查，并发表明确核查意见。</w:t>
            </w:r>
          </w:p>
          <w:p w14:paraId="7BA82FC0">
            <w:pPr>
              <w:ind w:firstLine="480" w:firstLineChars="200"/>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会计师应对标的资产审计范围是否受到限制及审计证据的充分性</w:t>
            </w:r>
            <w:r>
              <w:rPr>
                <w:rFonts w:hint="default" w:ascii="Times New Roman" w:hAnsi="Times New Roman" w:eastAsia="仿宋_GB2312" w:cs="Times New Roman"/>
                <w:kern w:val="0"/>
                <w:sz w:val="24"/>
                <w:highlight w:val="none"/>
                <w:lang w:eastAsia="zh-CN"/>
              </w:rPr>
              <w:t>，</w:t>
            </w:r>
            <w:r>
              <w:rPr>
                <w:rFonts w:hint="default" w:ascii="Times New Roman" w:hAnsi="Times New Roman" w:eastAsia="仿宋_GB2312" w:cs="Times New Roman"/>
                <w:kern w:val="0"/>
                <w:sz w:val="24"/>
                <w:highlight w:val="none"/>
              </w:rPr>
              <w:t>以及豁免披露的财务信息是否影响投资者决策判断进行核查，并</w:t>
            </w:r>
            <w:r>
              <w:rPr>
                <w:rFonts w:hint="default" w:ascii="Times New Roman" w:hAnsi="Times New Roman" w:eastAsia="仿宋_GB2312" w:cs="Times New Roman"/>
                <w:bCs/>
                <w:kern w:val="0"/>
                <w:sz w:val="24"/>
                <w:highlight w:val="none"/>
              </w:rPr>
              <w:t>发表明确核查意见</w:t>
            </w:r>
            <w:r>
              <w:rPr>
                <w:rFonts w:hint="default" w:ascii="Times New Roman" w:hAnsi="Times New Roman" w:eastAsia="仿宋_GB2312" w:cs="Times New Roman"/>
                <w:kern w:val="0"/>
                <w:sz w:val="24"/>
                <w:highlight w:val="none"/>
              </w:rPr>
              <w:t>。</w:t>
            </w:r>
          </w:p>
          <w:p w14:paraId="1A1B1707">
            <w:pPr>
              <w:widowControl/>
              <w:ind w:firstLine="480" w:firstLineChars="200"/>
              <w:rPr>
                <w:rFonts w:hint="default" w:ascii="Times New Roman" w:hAnsi="Times New Roman" w:eastAsia="仿宋_GB2312" w:cs="Times New Roman"/>
                <w:bCs/>
                <w:kern w:val="0"/>
                <w:sz w:val="24"/>
                <w:highlight w:val="none"/>
              </w:rPr>
            </w:pPr>
            <w:r>
              <w:rPr>
                <w:rFonts w:hint="default" w:ascii="Times New Roman" w:hAnsi="Times New Roman" w:eastAsia="仿宋_GB2312" w:cs="Times New Roman"/>
                <w:kern w:val="0"/>
                <w:sz w:val="24"/>
                <w:highlight w:val="none"/>
              </w:rPr>
              <w:t>评估师应对标的资产评估范围是否受到限制及评估证据的充分性</w:t>
            </w:r>
            <w:r>
              <w:rPr>
                <w:rFonts w:hint="default" w:ascii="Times New Roman" w:hAnsi="Times New Roman" w:eastAsia="仿宋_GB2312" w:cs="Times New Roman"/>
                <w:kern w:val="0"/>
                <w:sz w:val="24"/>
                <w:highlight w:val="none"/>
                <w:lang w:eastAsia="zh-CN"/>
              </w:rPr>
              <w:t>，</w:t>
            </w:r>
            <w:r>
              <w:rPr>
                <w:rFonts w:hint="default" w:ascii="Times New Roman" w:hAnsi="Times New Roman" w:eastAsia="仿宋_GB2312" w:cs="Times New Roman"/>
                <w:kern w:val="0"/>
                <w:sz w:val="24"/>
                <w:highlight w:val="none"/>
              </w:rPr>
              <w:t>以及豁免披露的评估信息是否影响投资者决策判断进行核查，并</w:t>
            </w:r>
            <w:r>
              <w:rPr>
                <w:rFonts w:hint="default" w:ascii="Times New Roman" w:hAnsi="Times New Roman" w:eastAsia="仿宋_GB2312" w:cs="Times New Roman"/>
                <w:bCs/>
                <w:kern w:val="0"/>
                <w:sz w:val="24"/>
                <w:highlight w:val="none"/>
              </w:rPr>
              <w:t>发表明确核查意见</w:t>
            </w:r>
            <w:r>
              <w:rPr>
                <w:rFonts w:hint="default" w:ascii="Times New Roman" w:hAnsi="Times New Roman" w:eastAsia="仿宋_GB2312" w:cs="Times New Roman"/>
                <w:kern w:val="0"/>
                <w:sz w:val="24"/>
                <w:highlight w:val="none"/>
              </w:rPr>
              <w:t>。</w:t>
            </w:r>
          </w:p>
        </w:tc>
        <w:tc>
          <w:tcPr>
            <w:tcW w:w="1701" w:type="dxa"/>
            <w:tcBorders>
              <w:top w:val="single" w:color="000000" w:sz="4" w:space="0"/>
              <w:left w:val="single" w:color="000000" w:sz="4" w:space="0"/>
              <w:bottom w:val="single" w:color="000000" w:sz="4" w:space="0"/>
              <w:right w:val="single" w:color="000000" w:sz="4" w:space="0"/>
            </w:tcBorders>
            <w:noWrap/>
          </w:tcPr>
          <w:p w14:paraId="5CDE7C3C">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《26号格式准则》第四条、第五条、第六条，《重组审核规则》第二十条</w:t>
            </w:r>
          </w:p>
        </w:tc>
      </w:tr>
      <w:tr w14:paraId="4BE9F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trPr>
        <w:tc>
          <w:tcPr>
            <w:tcW w:w="864" w:type="dxa"/>
            <w:tcBorders>
              <w:top w:val="single" w:color="000000" w:sz="4" w:space="0"/>
              <w:left w:val="single" w:color="000000" w:sz="4" w:space="0"/>
              <w:bottom w:val="single" w:color="000000" w:sz="4" w:space="0"/>
              <w:right w:val="single" w:color="000000" w:sz="4" w:space="0"/>
            </w:tcBorders>
            <w:noWrap/>
            <w:vAlign w:val="center"/>
          </w:tcPr>
          <w:p w14:paraId="4912388C">
            <w:pPr>
              <w:jc w:val="center"/>
              <w:rPr>
                <w:rFonts w:hint="default" w:ascii="Times New Roman" w:hAnsi="Times New Roman" w:eastAsia="仿宋_GB2312" w:cs="Times New Roman"/>
                <w:b/>
                <w:kern w:val="0"/>
                <w:sz w:val="24"/>
                <w:highlight w:val="none"/>
                <w:lang w:eastAsia="zh-CN"/>
              </w:rPr>
            </w:pPr>
            <w:r>
              <w:rPr>
                <w:rFonts w:hint="default" w:ascii="Times New Roman" w:hAnsi="Times New Roman" w:eastAsia="仿宋_GB2312" w:cs="Times New Roman"/>
                <w:b/>
                <w:kern w:val="0"/>
                <w:sz w:val="24"/>
                <w:highlight w:val="none"/>
              </w:rPr>
              <w:t>5-</w:t>
            </w:r>
            <w:r>
              <w:rPr>
                <w:rFonts w:hint="default" w:ascii="Times New Roman" w:hAnsi="Times New Roman" w:eastAsia="仿宋_GB2312" w:cs="Times New Roman"/>
                <w:b/>
                <w:kern w:val="0"/>
                <w:sz w:val="24"/>
                <w:highlight w:val="none"/>
                <w:lang w:val="en-US" w:eastAsia="zh-CN"/>
              </w:rPr>
              <w:t>3</w:t>
            </w:r>
          </w:p>
        </w:tc>
        <w:tc>
          <w:tcPr>
            <w:tcW w:w="1393" w:type="dxa"/>
            <w:tcBorders>
              <w:top w:val="single" w:color="000000" w:sz="4" w:space="0"/>
              <w:left w:val="single" w:color="000000" w:sz="4" w:space="0"/>
              <w:bottom w:val="single" w:color="000000" w:sz="4" w:space="0"/>
              <w:right w:val="single" w:color="000000" w:sz="4" w:space="0"/>
            </w:tcBorders>
            <w:noWrap/>
            <w:vAlign w:val="center"/>
          </w:tcPr>
          <w:p w14:paraId="16CFA81B">
            <w:pPr>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kern w:val="0"/>
                <w:sz w:val="24"/>
                <w:highlight w:val="none"/>
              </w:rPr>
              <w:t>重组前业绩异常或拟置出资产</w:t>
            </w:r>
          </w:p>
        </w:tc>
        <w:tc>
          <w:tcPr>
            <w:tcW w:w="4901" w:type="dxa"/>
            <w:tcBorders>
              <w:top w:val="single" w:color="000000" w:sz="4" w:space="0"/>
              <w:left w:val="single" w:color="000000" w:sz="4" w:space="0"/>
              <w:bottom w:val="single" w:color="000000" w:sz="4" w:space="0"/>
              <w:right w:val="single" w:color="000000" w:sz="4" w:space="0"/>
            </w:tcBorders>
            <w:noWrap/>
          </w:tcPr>
          <w:p w14:paraId="57F10FD0">
            <w:pPr>
              <w:ind w:firstLine="480" w:firstLineChars="200"/>
              <w:rPr>
                <w:rFonts w:hint="default" w:ascii="Times New Roman" w:hAnsi="Times New Roman" w:eastAsia="仿宋_GB2312" w:cs="Times New Roman"/>
                <w:bCs/>
                <w:kern w:val="0"/>
                <w:sz w:val="24"/>
                <w:highlight w:val="none"/>
              </w:rPr>
            </w:pPr>
            <w:r>
              <w:rPr>
                <w:rFonts w:hint="default" w:ascii="Times New Roman" w:hAnsi="Times New Roman" w:eastAsia="仿宋_GB2312" w:cs="Times New Roman"/>
                <w:bCs/>
                <w:kern w:val="0"/>
                <w:sz w:val="24"/>
                <w:highlight w:val="none"/>
              </w:rPr>
              <w:t>上市公司重大资产重组前一会计年度净利润下降50%以上、由盈转亏，或本次重组拟置出资产超过现有资产50%的，上市公司应当在公布重组报告书的同时，披露以下专项核查意见：</w:t>
            </w:r>
          </w:p>
          <w:p w14:paraId="1F1E6EE6">
            <w:pPr>
              <w:ind w:firstLine="480" w:firstLineChars="200"/>
              <w:rPr>
                <w:rFonts w:hint="default" w:ascii="Times New Roman" w:hAnsi="Times New Roman" w:eastAsia="仿宋_GB2312" w:cs="Times New Roman"/>
                <w:bCs/>
                <w:kern w:val="0"/>
                <w:sz w:val="24"/>
                <w:highlight w:val="none"/>
              </w:rPr>
            </w:pPr>
            <w:r>
              <w:rPr>
                <w:rFonts w:hint="default" w:ascii="Times New Roman" w:hAnsi="Times New Roman" w:eastAsia="仿宋_GB2312" w:cs="Times New Roman"/>
                <w:bCs/>
                <w:kern w:val="0"/>
                <w:sz w:val="24"/>
                <w:highlight w:val="none"/>
              </w:rPr>
              <w:t>（1）上市后承诺履行情况，是否存在不规范承诺、承诺未履行或未履行完毕的情形</w:t>
            </w:r>
            <w:r>
              <w:rPr>
                <w:rFonts w:hint="eastAsia" w:ascii="Times New Roman" w:hAnsi="Times New Roman" w:eastAsia="仿宋_GB2312" w:cs="Times New Roman"/>
                <w:bCs/>
                <w:kern w:val="0"/>
                <w:sz w:val="24"/>
                <w:highlight w:val="none"/>
                <w:lang w:eastAsia="zh-CN"/>
              </w:rPr>
              <w:t>；</w:t>
            </w:r>
          </w:p>
          <w:p w14:paraId="0A75B613">
            <w:pPr>
              <w:ind w:firstLine="480" w:firstLineChars="200"/>
              <w:rPr>
                <w:rFonts w:hint="default" w:ascii="Times New Roman" w:hAnsi="Times New Roman" w:eastAsia="仿宋_GB2312" w:cs="Times New Roman"/>
                <w:bCs/>
                <w:kern w:val="0"/>
                <w:sz w:val="24"/>
                <w:highlight w:val="none"/>
              </w:rPr>
            </w:pPr>
            <w:r>
              <w:rPr>
                <w:rFonts w:hint="default" w:ascii="Times New Roman" w:hAnsi="Times New Roman" w:eastAsia="仿宋_GB2312" w:cs="Times New Roman"/>
                <w:bCs/>
                <w:kern w:val="0"/>
                <w:sz w:val="24"/>
                <w:highlight w:val="none"/>
              </w:rPr>
              <w:t>（2）最近三年规范运作情况，是否存在违规资金占用、违规对外担保等情形，上市公司及其控股股东、实际控制人、现任董事、高级管理人员是否曾受到行政处罚、刑事处罚，是否曾被</w:t>
            </w:r>
            <w:r>
              <w:rPr>
                <w:rFonts w:hint="default" w:ascii="Times New Roman" w:hAnsi="Times New Roman" w:eastAsia="仿宋_GB2312" w:cs="Times New Roman"/>
                <w:bCs/>
                <w:kern w:val="0"/>
                <w:sz w:val="24"/>
                <w:highlight w:val="none"/>
                <w:lang w:eastAsia="zh-CN"/>
              </w:rPr>
              <w:t>证券</w:t>
            </w:r>
            <w:r>
              <w:rPr>
                <w:rFonts w:hint="default" w:ascii="Times New Roman" w:hAnsi="Times New Roman" w:eastAsia="仿宋_GB2312" w:cs="Times New Roman"/>
                <w:bCs/>
                <w:kern w:val="0"/>
                <w:sz w:val="24"/>
                <w:highlight w:val="none"/>
              </w:rPr>
              <w:t>交易所采取监管措施、纪律处分或者被中国证监会派出机构采取行政监管措施，是否正被司法机关立案侦查、被中国证监会立案调查或者被其他有权部门调查等情形</w:t>
            </w:r>
            <w:r>
              <w:rPr>
                <w:rFonts w:hint="eastAsia" w:ascii="Times New Roman" w:hAnsi="Times New Roman" w:eastAsia="仿宋_GB2312" w:cs="Times New Roman"/>
                <w:bCs/>
                <w:kern w:val="0"/>
                <w:sz w:val="24"/>
                <w:highlight w:val="none"/>
                <w:lang w:eastAsia="zh-CN"/>
              </w:rPr>
              <w:t>；</w:t>
            </w:r>
          </w:p>
          <w:p w14:paraId="17C11ACE">
            <w:pPr>
              <w:ind w:firstLine="480" w:firstLineChars="200"/>
              <w:rPr>
                <w:rFonts w:hint="default" w:ascii="Times New Roman" w:hAnsi="Times New Roman" w:eastAsia="仿宋_GB2312" w:cs="Times New Roman"/>
                <w:bCs/>
                <w:kern w:val="0"/>
                <w:sz w:val="24"/>
                <w:highlight w:val="none"/>
              </w:rPr>
            </w:pPr>
            <w:r>
              <w:rPr>
                <w:rFonts w:hint="default" w:ascii="Times New Roman" w:hAnsi="Times New Roman" w:eastAsia="仿宋_GB2312" w:cs="Times New Roman"/>
                <w:bCs/>
                <w:kern w:val="0"/>
                <w:sz w:val="24"/>
                <w:highlight w:val="none"/>
              </w:rPr>
              <w:t>（3）最近三年业绩真实性和会计处理合规性，是否存在虚假交易、虚构利润，是否存在关联方利益输送，是否存在调节会计利润以符合或规避监管要求的情形，相关会计处理是否符合企业会计准则规定，是否存在滥用会计政策、会计差错更正或会计估计变更等对上市公司进行“大洗澡”的情形，尤其关注应收账款、存货、商誉大幅计提减值准备的情形等</w:t>
            </w:r>
            <w:r>
              <w:rPr>
                <w:rFonts w:hint="eastAsia" w:ascii="Times New Roman" w:hAnsi="Times New Roman" w:eastAsia="仿宋_GB2312" w:cs="Times New Roman"/>
                <w:bCs/>
                <w:kern w:val="0"/>
                <w:sz w:val="24"/>
                <w:highlight w:val="none"/>
                <w:lang w:eastAsia="zh-CN"/>
              </w:rPr>
              <w:t>；</w:t>
            </w:r>
          </w:p>
          <w:p w14:paraId="5DB33FDB">
            <w:pPr>
              <w:ind w:firstLine="480" w:firstLineChars="200"/>
              <w:rPr>
                <w:rFonts w:hint="default" w:ascii="Times New Roman" w:hAnsi="Times New Roman" w:eastAsia="仿宋_GB2312" w:cs="Times New Roman"/>
                <w:bCs/>
                <w:kern w:val="0"/>
                <w:sz w:val="24"/>
                <w:highlight w:val="none"/>
              </w:rPr>
            </w:pPr>
            <w:r>
              <w:rPr>
                <w:rFonts w:hint="default" w:ascii="Times New Roman" w:hAnsi="Times New Roman" w:eastAsia="仿宋_GB2312" w:cs="Times New Roman"/>
                <w:bCs/>
                <w:kern w:val="0"/>
                <w:sz w:val="24"/>
                <w:highlight w:val="none"/>
              </w:rPr>
              <w:t>（4）拟置出资产的评估（估值）作价情况（如有），相关评估（估值）方法、评估（估值）假设、评估（估值）参数预测是否合理，是否符合资产实际经营情况，是否履行必要的决策程序等。</w:t>
            </w:r>
          </w:p>
        </w:tc>
        <w:tc>
          <w:tcPr>
            <w:tcW w:w="5141" w:type="dxa"/>
            <w:tcBorders>
              <w:top w:val="single" w:color="000000" w:sz="4" w:space="0"/>
              <w:left w:val="single" w:color="000000" w:sz="4" w:space="0"/>
              <w:bottom w:val="single" w:color="000000" w:sz="4" w:space="0"/>
              <w:right w:val="single" w:color="000000" w:sz="4" w:space="0"/>
            </w:tcBorders>
            <w:noWrap/>
          </w:tcPr>
          <w:p w14:paraId="4228F8B9">
            <w:pPr>
              <w:ind w:firstLine="480" w:firstLineChars="200"/>
              <w:rPr>
                <w:rFonts w:hint="default" w:ascii="Times New Roman" w:hAnsi="Times New Roman" w:eastAsia="仿宋_GB2312" w:cs="Times New Roman"/>
                <w:bCs/>
                <w:kern w:val="0"/>
                <w:sz w:val="24"/>
                <w:highlight w:val="none"/>
              </w:rPr>
            </w:pPr>
            <w:r>
              <w:rPr>
                <w:rFonts w:hint="default" w:ascii="Times New Roman" w:hAnsi="Times New Roman" w:eastAsia="仿宋_GB2312" w:cs="Times New Roman"/>
                <w:bCs/>
                <w:kern w:val="0"/>
                <w:sz w:val="24"/>
                <w:highlight w:val="none"/>
              </w:rPr>
              <w:t>独立财务顾问、律师、会计师和评估师应当对上市公司披露事项进行专项核查、发表明确意见，并提交专项核查报告。</w:t>
            </w:r>
          </w:p>
        </w:tc>
        <w:tc>
          <w:tcPr>
            <w:tcW w:w="1701" w:type="dxa"/>
            <w:tcBorders>
              <w:top w:val="single" w:color="000000" w:sz="4" w:space="0"/>
              <w:left w:val="single" w:color="000000" w:sz="4" w:space="0"/>
              <w:bottom w:val="single" w:color="000000" w:sz="4" w:space="0"/>
              <w:right w:val="single" w:color="000000" w:sz="4" w:space="0"/>
            </w:tcBorders>
            <w:noWrap/>
          </w:tcPr>
          <w:p w14:paraId="78D12D36">
            <w:pP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《监管规则适用指引——上市类第1号》1-11</w:t>
            </w:r>
          </w:p>
        </w:tc>
      </w:tr>
    </w:tbl>
    <w:p w14:paraId="6B503292">
      <w:pPr>
        <w:adjustRightInd w:val="0"/>
        <w:snapToGrid w:val="0"/>
        <w:ind w:firstLine="360" w:firstLineChars="150"/>
        <w:rPr>
          <w:rFonts w:hint="default" w:ascii="Times New Roman" w:hAnsi="Times New Roman" w:eastAsia="仿宋_GB2312" w:cs="Times New Roman"/>
          <w:color w:val="000000" w:themeColor="text1"/>
          <w:sz w:val="24"/>
          <w:szCs w:val="24"/>
          <w:highlight w:val="none"/>
          <w14:textFill>
            <w14:solidFill>
              <w14:schemeClr w14:val="tx1"/>
            </w14:solidFill>
          </w14:textFill>
        </w:rPr>
      </w:pPr>
      <w:r>
        <w:rPr>
          <w:rFonts w:hint="default" w:ascii="Times New Roman" w:hAnsi="Times New Roman" w:eastAsia="仿宋_GB2312" w:cs="Times New Roman"/>
          <w:color w:val="000000" w:themeColor="text1"/>
          <w:sz w:val="24"/>
          <w:szCs w:val="24"/>
          <w:highlight w:val="none"/>
          <w14:textFill>
            <w14:solidFill>
              <w14:schemeClr w14:val="tx1"/>
            </w14:solidFill>
          </w14:textFill>
        </w:rPr>
        <w:t>注：为方便上市公司填写，上述表格列明了核查要求、披露要求及参考规范，与实际填报的表格格式（正文）略有不同。</w:t>
      </w:r>
    </w:p>
    <w:sectPr>
      <w:footerReference r:id="rId3" w:type="default"/>
      <w:pgSz w:w="16839" w:h="11907"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仿宋">
    <w:altName w:val="宋体"/>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29F03">
    <w:pPr>
      <w:pStyle w:val="8"/>
      <w:jc w:val="center"/>
    </w:pPr>
    <w:r>
      <w:fldChar w:fldCharType="begin"/>
    </w:r>
    <w:r>
      <w:instrText xml:space="preserve"> PAGE   \* MERGEFORMAT </w:instrText>
    </w:r>
    <w:r>
      <w:fldChar w:fldCharType="separate"/>
    </w:r>
    <w:r>
      <w:rPr>
        <w:lang w:val="zh-CN"/>
      </w:rPr>
      <w:t>40</w:t>
    </w:r>
    <w:r>
      <w:rPr>
        <w:lang w:val="zh-CN"/>
      </w:rPr>
      <w:fldChar w:fldCharType="end"/>
    </w:r>
  </w:p>
  <w:p w14:paraId="41201B1E">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E6A316"/>
    <w:multiLevelType w:val="singleLevel"/>
    <w:tmpl w:val="9BE6A316"/>
    <w:lvl w:ilvl="0" w:tentative="0">
      <w:start w:val="1"/>
      <w:numFmt w:val="decimal"/>
      <w:suff w:val="nothing"/>
      <w:lvlText w:val="（%1）"/>
      <w:lvlJc w:val="left"/>
    </w:lvl>
  </w:abstractNum>
  <w:abstractNum w:abstractNumId="1">
    <w:nsid w:val="A9B448EF"/>
    <w:multiLevelType w:val="singleLevel"/>
    <w:tmpl w:val="A9B448EF"/>
    <w:lvl w:ilvl="0" w:tentative="0">
      <w:start w:val="1"/>
      <w:numFmt w:val="decimal"/>
      <w:suff w:val="nothing"/>
      <w:lvlText w:val="（%1）"/>
      <w:lvlJc w:val="left"/>
    </w:lvl>
  </w:abstractNum>
  <w:abstractNum w:abstractNumId="2">
    <w:nsid w:val="03FACAE6"/>
    <w:multiLevelType w:val="singleLevel"/>
    <w:tmpl w:val="03FACAE6"/>
    <w:lvl w:ilvl="0" w:tentative="0">
      <w:start w:val="1"/>
      <w:numFmt w:val="decimal"/>
      <w:suff w:val="nothing"/>
      <w:lvlText w:val="（%1）"/>
      <w:lvlJc w:val="left"/>
    </w:lvl>
  </w:abstractNum>
  <w:abstractNum w:abstractNumId="3">
    <w:nsid w:val="152DDA46"/>
    <w:multiLevelType w:val="singleLevel"/>
    <w:tmpl w:val="152DDA46"/>
    <w:lvl w:ilvl="0" w:tentative="0">
      <w:start w:val="1"/>
      <w:numFmt w:val="decimal"/>
      <w:suff w:val="nothing"/>
      <w:lvlText w:val="（%1）"/>
      <w:lvlJc w:val="left"/>
    </w:lvl>
  </w:abstractNum>
  <w:abstractNum w:abstractNumId="4">
    <w:nsid w:val="2428E170"/>
    <w:multiLevelType w:val="singleLevel"/>
    <w:tmpl w:val="2428E170"/>
    <w:lvl w:ilvl="0" w:tentative="0">
      <w:start w:val="1"/>
      <w:numFmt w:val="decimal"/>
      <w:suff w:val="nothing"/>
      <w:lvlText w:val="（%1）"/>
      <w:lvlJc w:val="left"/>
    </w:lvl>
  </w:abstractNum>
  <w:abstractNum w:abstractNumId="5">
    <w:nsid w:val="25365D0C"/>
    <w:multiLevelType w:val="singleLevel"/>
    <w:tmpl w:val="25365D0C"/>
    <w:lvl w:ilvl="0" w:tentative="0">
      <w:start w:val="1"/>
      <w:numFmt w:val="decimal"/>
      <w:suff w:val="nothing"/>
      <w:lvlText w:val="（%1）"/>
      <w:lvlJc w:val="left"/>
    </w:lvl>
  </w:abstractNum>
  <w:abstractNum w:abstractNumId="6">
    <w:nsid w:val="27C55CDF"/>
    <w:multiLevelType w:val="multilevel"/>
    <w:tmpl w:val="27C55CDF"/>
    <w:lvl w:ilvl="0" w:tentative="0">
      <w:start w:val="1"/>
      <w:numFmt w:val="decimal"/>
      <w:suff w:val="nothing"/>
      <w:lvlText w:val="（%1）"/>
      <w:lvlJc w:val="left"/>
      <w:pPr>
        <w:ind w:left="0" w:firstLine="0"/>
      </w:pPr>
      <w:rPr>
        <w:rFonts w:hint="default" w:ascii="仿宋_GB2312" w:hAnsi="仿宋_GB2312" w:eastAsia="仿宋_GB2312" w:cs="仿宋_GB2312"/>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5A74707F"/>
    <w:multiLevelType w:val="singleLevel"/>
    <w:tmpl w:val="5A74707F"/>
    <w:lvl w:ilvl="0" w:tentative="0">
      <w:start w:val="1"/>
      <w:numFmt w:val="decimal"/>
      <w:suff w:val="nothing"/>
      <w:lvlText w:val="（%1）"/>
      <w:lvlJc w:val="left"/>
    </w:lvl>
  </w:abstractNum>
  <w:abstractNum w:abstractNumId="8">
    <w:nsid w:val="75967B64"/>
    <w:multiLevelType w:val="singleLevel"/>
    <w:tmpl w:val="75967B64"/>
    <w:lvl w:ilvl="0" w:tentative="0">
      <w:start w:val="1"/>
      <w:numFmt w:val="decimal"/>
      <w:suff w:val="nothing"/>
      <w:lvlText w:val="（%1）"/>
      <w:lvlJc w:val="left"/>
    </w:lvl>
  </w:abstractNum>
  <w:num w:numId="1">
    <w:abstractNumId w:val="3"/>
  </w:num>
  <w:num w:numId="2">
    <w:abstractNumId w:val="7"/>
  </w:num>
  <w:num w:numId="3">
    <w:abstractNumId w:val="0"/>
  </w:num>
  <w:num w:numId="4">
    <w:abstractNumId w:val="2"/>
  </w:num>
  <w:num w:numId="5">
    <w:abstractNumId w:val="5"/>
  </w:num>
  <w:num w:numId="6">
    <w:abstractNumId w:val="1"/>
  </w:num>
  <w:num w:numId="7">
    <w:abstractNumId w:val="8"/>
  </w:num>
  <w:num w:numId="8">
    <w:abstractNumId w:val="4"/>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2MGM3Yjc2ZDU0NWQzMDdjOWNlOTA1NjdiYWYxNzMifQ=="/>
    <w:docVar w:name="KSO_WPS_MARK_KEY" w:val="0b3d4b43-b3f4-418f-a858-638ed966edeb"/>
  </w:docVars>
  <w:rsids>
    <w:rsidRoot w:val="00BC710D"/>
    <w:rsid w:val="00002763"/>
    <w:rsid w:val="00002EB1"/>
    <w:rsid w:val="0000461A"/>
    <w:rsid w:val="0000493A"/>
    <w:rsid w:val="000075C5"/>
    <w:rsid w:val="000078B4"/>
    <w:rsid w:val="00007BA3"/>
    <w:rsid w:val="000174BF"/>
    <w:rsid w:val="00017903"/>
    <w:rsid w:val="000201B9"/>
    <w:rsid w:val="00021878"/>
    <w:rsid w:val="00022614"/>
    <w:rsid w:val="000244FA"/>
    <w:rsid w:val="000258A8"/>
    <w:rsid w:val="00025A0F"/>
    <w:rsid w:val="00032CF0"/>
    <w:rsid w:val="000330B0"/>
    <w:rsid w:val="00034B05"/>
    <w:rsid w:val="00036C63"/>
    <w:rsid w:val="00040F6B"/>
    <w:rsid w:val="000415AD"/>
    <w:rsid w:val="00041A85"/>
    <w:rsid w:val="0004602F"/>
    <w:rsid w:val="00046068"/>
    <w:rsid w:val="00047B1D"/>
    <w:rsid w:val="00051A03"/>
    <w:rsid w:val="00053A83"/>
    <w:rsid w:val="00054653"/>
    <w:rsid w:val="00056046"/>
    <w:rsid w:val="0005712C"/>
    <w:rsid w:val="0005739F"/>
    <w:rsid w:val="000619BD"/>
    <w:rsid w:val="000619E5"/>
    <w:rsid w:val="000630C0"/>
    <w:rsid w:val="00064314"/>
    <w:rsid w:val="000648BC"/>
    <w:rsid w:val="00065398"/>
    <w:rsid w:val="000722CA"/>
    <w:rsid w:val="000772C3"/>
    <w:rsid w:val="00077A66"/>
    <w:rsid w:val="0008040D"/>
    <w:rsid w:val="00080442"/>
    <w:rsid w:val="00082E58"/>
    <w:rsid w:val="00082EC5"/>
    <w:rsid w:val="00083FD6"/>
    <w:rsid w:val="00085D6B"/>
    <w:rsid w:val="00087A43"/>
    <w:rsid w:val="00087A9A"/>
    <w:rsid w:val="000929FD"/>
    <w:rsid w:val="0009303B"/>
    <w:rsid w:val="000934B4"/>
    <w:rsid w:val="00093705"/>
    <w:rsid w:val="00093824"/>
    <w:rsid w:val="000939D6"/>
    <w:rsid w:val="00094A52"/>
    <w:rsid w:val="00094C98"/>
    <w:rsid w:val="00094F8F"/>
    <w:rsid w:val="0009686A"/>
    <w:rsid w:val="00097051"/>
    <w:rsid w:val="00097143"/>
    <w:rsid w:val="00097154"/>
    <w:rsid w:val="000974EB"/>
    <w:rsid w:val="000A0D95"/>
    <w:rsid w:val="000A1FF5"/>
    <w:rsid w:val="000A2EFC"/>
    <w:rsid w:val="000A7047"/>
    <w:rsid w:val="000B08D9"/>
    <w:rsid w:val="000B2022"/>
    <w:rsid w:val="000B2832"/>
    <w:rsid w:val="000B29EA"/>
    <w:rsid w:val="000B3556"/>
    <w:rsid w:val="000B4B02"/>
    <w:rsid w:val="000B5DF2"/>
    <w:rsid w:val="000C6024"/>
    <w:rsid w:val="000D6571"/>
    <w:rsid w:val="000D6D58"/>
    <w:rsid w:val="000D7A76"/>
    <w:rsid w:val="000E0B54"/>
    <w:rsid w:val="000E10A0"/>
    <w:rsid w:val="000E6584"/>
    <w:rsid w:val="000E72F5"/>
    <w:rsid w:val="000E7C81"/>
    <w:rsid w:val="000F2352"/>
    <w:rsid w:val="000F2680"/>
    <w:rsid w:val="000F28EF"/>
    <w:rsid w:val="000F31B0"/>
    <w:rsid w:val="000F44E3"/>
    <w:rsid w:val="000F4AC6"/>
    <w:rsid w:val="000F5D45"/>
    <w:rsid w:val="00100B60"/>
    <w:rsid w:val="001023D4"/>
    <w:rsid w:val="001047F4"/>
    <w:rsid w:val="00105672"/>
    <w:rsid w:val="00105F7E"/>
    <w:rsid w:val="00112820"/>
    <w:rsid w:val="00112C37"/>
    <w:rsid w:val="00115A8E"/>
    <w:rsid w:val="00115CAC"/>
    <w:rsid w:val="00116040"/>
    <w:rsid w:val="00116A36"/>
    <w:rsid w:val="001179CE"/>
    <w:rsid w:val="00117AEB"/>
    <w:rsid w:val="00117EF7"/>
    <w:rsid w:val="00120127"/>
    <w:rsid w:val="00120DB4"/>
    <w:rsid w:val="00121CDB"/>
    <w:rsid w:val="00122892"/>
    <w:rsid w:val="00122F57"/>
    <w:rsid w:val="0012398E"/>
    <w:rsid w:val="00123A0F"/>
    <w:rsid w:val="00124DF5"/>
    <w:rsid w:val="00124ED4"/>
    <w:rsid w:val="00126D35"/>
    <w:rsid w:val="00127471"/>
    <w:rsid w:val="00127586"/>
    <w:rsid w:val="00131137"/>
    <w:rsid w:val="0013141A"/>
    <w:rsid w:val="00131642"/>
    <w:rsid w:val="00133CD6"/>
    <w:rsid w:val="001356A6"/>
    <w:rsid w:val="00135870"/>
    <w:rsid w:val="00135EC3"/>
    <w:rsid w:val="001361EF"/>
    <w:rsid w:val="00141BA7"/>
    <w:rsid w:val="001421E2"/>
    <w:rsid w:val="00142BC5"/>
    <w:rsid w:val="00142D2F"/>
    <w:rsid w:val="00143B0E"/>
    <w:rsid w:val="0014516D"/>
    <w:rsid w:val="00146717"/>
    <w:rsid w:val="0014729F"/>
    <w:rsid w:val="00147AFA"/>
    <w:rsid w:val="00150180"/>
    <w:rsid w:val="00150EEA"/>
    <w:rsid w:val="00151BBA"/>
    <w:rsid w:val="00152DC2"/>
    <w:rsid w:val="0015337E"/>
    <w:rsid w:val="00153BF0"/>
    <w:rsid w:val="00153F5E"/>
    <w:rsid w:val="001564BE"/>
    <w:rsid w:val="001564EC"/>
    <w:rsid w:val="001638AA"/>
    <w:rsid w:val="00164501"/>
    <w:rsid w:val="00165417"/>
    <w:rsid w:val="00165B97"/>
    <w:rsid w:val="00165CA9"/>
    <w:rsid w:val="00166088"/>
    <w:rsid w:val="001671B2"/>
    <w:rsid w:val="00175FF7"/>
    <w:rsid w:val="00177842"/>
    <w:rsid w:val="001779FE"/>
    <w:rsid w:val="00182897"/>
    <w:rsid w:val="00186EF5"/>
    <w:rsid w:val="00191BE1"/>
    <w:rsid w:val="001921ED"/>
    <w:rsid w:val="0019264F"/>
    <w:rsid w:val="0019406D"/>
    <w:rsid w:val="001948EA"/>
    <w:rsid w:val="00196ABA"/>
    <w:rsid w:val="00196D0D"/>
    <w:rsid w:val="001A1A2D"/>
    <w:rsid w:val="001A7DBC"/>
    <w:rsid w:val="001B0316"/>
    <w:rsid w:val="001B0E2A"/>
    <w:rsid w:val="001B10F1"/>
    <w:rsid w:val="001B5D48"/>
    <w:rsid w:val="001B664A"/>
    <w:rsid w:val="001B7195"/>
    <w:rsid w:val="001C356F"/>
    <w:rsid w:val="001C5093"/>
    <w:rsid w:val="001C5A80"/>
    <w:rsid w:val="001C6204"/>
    <w:rsid w:val="001D1080"/>
    <w:rsid w:val="001D1C3D"/>
    <w:rsid w:val="001D63B4"/>
    <w:rsid w:val="001E2985"/>
    <w:rsid w:val="001E37EA"/>
    <w:rsid w:val="001E41D5"/>
    <w:rsid w:val="001E53D4"/>
    <w:rsid w:val="001F00E6"/>
    <w:rsid w:val="001F120C"/>
    <w:rsid w:val="001F46BE"/>
    <w:rsid w:val="001F4D6A"/>
    <w:rsid w:val="001F5E11"/>
    <w:rsid w:val="001F6F89"/>
    <w:rsid w:val="001F77AE"/>
    <w:rsid w:val="001F799F"/>
    <w:rsid w:val="001F7B28"/>
    <w:rsid w:val="001F7EB6"/>
    <w:rsid w:val="0020110B"/>
    <w:rsid w:val="002011FF"/>
    <w:rsid w:val="00202AAE"/>
    <w:rsid w:val="0020567E"/>
    <w:rsid w:val="00206F94"/>
    <w:rsid w:val="00211807"/>
    <w:rsid w:val="00213C8B"/>
    <w:rsid w:val="002176BF"/>
    <w:rsid w:val="00220174"/>
    <w:rsid w:val="00220A01"/>
    <w:rsid w:val="00222D5C"/>
    <w:rsid w:val="00227F23"/>
    <w:rsid w:val="00232471"/>
    <w:rsid w:val="00233408"/>
    <w:rsid w:val="00234C80"/>
    <w:rsid w:val="00241CF8"/>
    <w:rsid w:val="002432D8"/>
    <w:rsid w:val="00243CEA"/>
    <w:rsid w:val="00243F14"/>
    <w:rsid w:val="002516AE"/>
    <w:rsid w:val="002543A1"/>
    <w:rsid w:val="00254814"/>
    <w:rsid w:val="0026078E"/>
    <w:rsid w:val="00262E59"/>
    <w:rsid w:val="0027085C"/>
    <w:rsid w:val="00271855"/>
    <w:rsid w:val="002721A5"/>
    <w:rsid w:val="002725DE"/>
    <w:rsid w:val="002744C9"/>
    <w:rsid w:val="00274A28"/>
    <w:rsid w:val="002801DC"/>
    <w:rsid w:val="00282D1E"/>
    <w:rsid w:val="00283B8B"/>
    <w:rsid w:val="00292DE6"/>
    <w:rsid w:val="00295E4C"/>
    <w:rsid w:val="00295F79"/>
    <w:rsid w:val="00296059"/>
    <w:rsid w:val="00297F4E"/>
    <w:rsid w:val="002A0247"/>
    <w:rsid w:val="002A29B9"/>
    <w:rsid w:val="002A799B"/>
    <w:rsid w:val="002B1CCC"/>
    <w:rsid w:val="002B1D96"/>
    <w:rsid w:val="002B446C"/>
    <w:rsid w:val="002B5FBD"/>
    <w:rsid w:val="002B73F4"/>
    <w:rsid w:val="002C1BF3"/>
    <w:rsid w:val="002C21A6"/>
    <w:rsid w:val="002C2744"/>
    <w:rsid w:val="002C375E"/>
    <w:rsid w:val="002C38C8"/>
    <w:rsid w:val="002C517E"/>
    <w:rsid w:val="002D0B87"/>
    <w:rsid w:val="002D357A"/>
    <w:rsid w:val="002D3ED8"/>
    <w:rsid w:val="002D5711"/>
    <w:rsid w:val="002D7D69"/>
    <w:rsid w:val="002D7FCA"/>
    <w:rsid w:val="002E01E1"/>
    <w:rsid w:val="002E2FA5"/>
    <w:rsid w:val="002E394D"/>
    <w:rsid w:val="002E3990"/>
    <w:rsid w:val="002E3DFD"/>
    <w:rsid w:val="002E5E7A"/>
    <w:rsid w:val="002E5F78"/>
    <w:rsid w:val="002E61BF"/>
    <w:rsid w:val="002E68D5"/>
    <w:rsid w:val="002E6E13"/>
    <w:rsid w:val="002E71DE"/>
    <w:rsid w:val="002F2391"/>
    <w:rsid w:val="002F3436"/>
    <w:rsid w:val="002F53B3"/>
    <w:rsid w:val="002F6331"/>
    <w:rsid w:val="00301615"/>
    <w:rsid w:val="00302759"/>
    <w:rsid w:val="00302EF8"/>
    <w:rsid w:val="00303925"/>
    <w:rsid w:val="00304BC1"/>
    <w:rsid w:val="00304EAC"/>
    <w:rsid w:val="00313880"/>
    <w:rsid w:val="003149BF"/>
    <w:rsid w:val="003150F0"/>
    <w:rsid w:val="003161BE"/>
    <w:rsid w:val="00316378"/>
    <w:rsid w:val="003207EE"/>
    <w:rsid w:val="00320D0B"/>
    <w:rsid w:val="00325540"/>
    <w:rsid w:val="003268C6"/>
    <w:rsid w:val="00327E9B"/>
    <w:rsid w:val="00331AFF"/>
    <w:rsid w:val="003339B5"/>
    <w:rsid w:val="00333A05"/>
    <w:rsid w:val="003361F9"/>
    <w:rsid w:val="003362BB"/>
    <w:rsid w:val="003375CE"/>
    <w:rsid w:val="00341351"/>
    <w:rsid w:val="00341493"/>
    <w:rsid w:val="00341EE7"/>
    <w:rsid w:val="00342770"/>
    <w:rsid w:val="00342845"/>
    <w:rsid w:val="00344A8A"/>
    <w:rsid w:val="00344E83"/>
    <w:rsid w:val="00346637"/>
    <w:rsid w:val="00346CF4"/>
    <w:rsid w:val="0035089E"/>
    <w:rsid w:val="00350A99"/>
    <w:rsid w:val="00351568"/>
    <w:rsid w:val="00351B66"/>
    <w:rsid w:val="003520A6"/>
    <w:rsid w:val="003554B8"/>
    <w:rsid w:val="003604CE"/>
    <w:rsid w:val="00361AD1"/>
    <w:rsid w:val="00363B94"/>
    <w:rsid w:val="00364D72"/>
    <w:rsid w:val="0036557F"/>
    <w:rsid w:val="00365AB3"/>
    <w:rsid w:val="003660E9"/>
    <w:rsid w:val="00367964"/>
    <w:rsid w:val="00371335"/>
    <w:rsid w:val="00371E2E"/>
    <w:rsid w:val="00372516"/>
    <w:rsid w:val="00372F2C"/>
    <w:rsid w:val="0037526E"/>
    <w:rsid w:val="00376C4C"/>
    <w:rsid w:val="00376CAE"/>
    <w:rsid w:val="00377249"/>
    <w:rsid w:val="00377474"/>
    <w:rsid w:val="00377749"/>
    <w:rsid w:val="00383078"/>
    <w:rsid w:val="003855B3"/>
    <w:rsid w:val="00385696"/>
    <w:rsid w:val="00387376"/>
    <w:rsid w:val="003941F2"/>
    <w:rsid w:val="00395C8E"/>
    <w:rsid w:val="003A4338"/>
    <w:rsid w:val="003A49A3"/>
    <w:rsid w:val="003A5AF4"/>
    <w:rsid w:val="003B1797"/>
    <w:rsid w:val="003B216C"/>
    <w:rsid w:val="003B2A31"/>
    <w:rsid w:val="003B37FE"/>
    <w:rsid w:val="003B3A91"/>
    <w:rsid w:val="003B3D04"/>
    <w:rsid w:val="003B66BD"/>
    <w:rsid w:val="003C0274"/>
    <w:rsid w:val="003C0D71"/>
    <w:rsid w:val="003C136D"/>
    <w:rsid w:val="003C234A"/>
    <w:rsid w:val="003C2E6A"/>
    <w:rsid w:val="003C3F84"/>
    <w:rsid w:val="003C47B6"/>
    <w:rsid w:val="003C5A0B"/>
    <w:rsid w:val="003D1599"/>
    <w:rsid w:val="003D32C3"/>
    <w:rsid w:val="003D39FB"/>
    <w:rsid w:val="003D5132"/>
    <w:rsid w:val="003D6761"/>
    <w:rsid w:val="003D6E9D"/>
    <w:rsid w:val="003D6EA1"/>
    <w:rsid w:val="003D7920"/>
    <w:rsid w:val="003E17A2"/>
    <w:rsid w:val="003E2587"/>
    <w:rsid w:val="003E2713"/>
    <w:rsid w:val="003E4D10"/>
    <w:rsid w:val="003E6DBC"/>
    <w:rsid w:val="003E6ED2"/>
    <w:rsid w:val="003F2986"/>
    <w:rsid w:val="003F299E"/>
    <w:rsid w:val="003F3F73"/>
    <w:rsid w:val="004017DD"/>
    <w:rsid w:val="004017FC"/>
    <w:rsid w:val="00402D04"/>
    <w:rsid w:val="00403A96"/>
    <w:rsid w:val="00410088"/>
    <w:rsid w:val="004133D5"/>
    <w:rsid w:val="00413EFD"/>
    <w:rsid w:val="004202E5"/>
    <w:rsid w:val="00420947"/>
    <w:rsid w:val="004219CF"/>
    <w:rsid w:val="00422A6A"/>
    <w:rsid w:val="00422F9B"/>
    <w:rsid w:val="00424C55"/>
    <w:rsid w:val="00425115"/>
    <w:rsid w:val="00430189"/>
    <w:rsid w:val="00430AB9"/>
    <w:rsid w:val="00432C1F"/>
    <w:rsid w:val="00433612"/>
    <w:rsid w:val="00436EC5"/>
    <w:rsid w:val="004376F6"/>
    <w:rsid w:val="004420A6"/>
    <w:rsid w:val="004446ED"/>
    <w:rsid w:val="0044746D"/>
    <w:rsid w:val="00447E7B"/>
    <w:rsid w:val="00451224"/>
    <w:rsid w:val="00451305"/>
    <w:rsid w:val="004534EA"/>
    <w:rsid w:val="00463DE5"/>
    <w:rsid w:val="00471808"/>
    <w:rsid w:val="00472684"/>
    <w:rsid w:val="0047370D"/>
    <w:rsid w:val="00475636"/>
    <w:rsid w:val="0048030E"/>
    <w:rsid w:val="0049055C"/>
    <w:rsid w:val="004906A3"/>
    <w:rsid w:val="00490ED1"/>
    <w:rsid w:val="00492FEF"/>
    <w:rsid w:val="0049344A"/>
    <w:rsid w:val="0049619D"/>
    <w:rsid w:val="0049765F"/>
    <w:rsid w:val="004A2620"/>
    <w:rsid w:val="004A2C72"/>
    <w:rsid w:val="004A3C3D"/>
    <w:rsid w:val="004A4D26"/>
    <w:rsid w:val="004A5F76"/>
    <w:rsid w:val="004A64B0"/>
    <w:rsid w:val="004A6E9B"/>
    <w:rsid w:val="004A7ABB"/>
    <w:rsid w:val="004B0288"/>
    <w:rsid w:val="004B0A89"/>
    <w:rsid w:val="004B12C7"/>
    <w:rsid w:val="004B5314"/>
    <w:rsid w:val="004B6E59"/>
    <w:rsid w:val="004C1C35"/>
    <w:rsid w:val="004C2173"/>
    <w:rsid w:val="004C2535"/>
    <w:rsid w:val="004C2A4D"/>
    <w:rsid w:val="004C2FD7"/>
    <w:rsid w:val="004C3008"/>
    <w:rsid w:val="004C3EFC"/>
    <w:rsid w:val="004C63B4"/>
    <w:rsid w:val="004C799D"/>
    <w:rsid w:val="004C7ACC"/>
    <w:rsid w:val="004D73FC"/>
    <w:rsid w:val="004E1014"/>
    <w:rsid w:val="004E3391"/>
    <w:rsid w:val="004E3E82"/>
    <w:rsid w:val="004E5CC2"/>
    <w:rsid w:val="004E745C"/>
    <w:rsid w:val="004F055D"/>
    <w:rsid w:val="004F09EA"/>
    <w:rsid w:val="004F0EF8"/>
    <w:rsid w:val="004F3882"/>
    <w:rsid w:val="004F45D8"/>
    <w:rsid w:val="004F531E"/>
    <w:rsid w:val="004F58CC"/>
    <w:rsid w:val="004F5A69"/>
    <w:rsid w:val="004F5B6D"/>
    <w:rsid w:val="004F6E86"/>
    <w:rsid w:val="004F78D0"/>
    <w:rsid w:val="004F7DCC"/>
    <w:rsid w:val="0050031A"/>
    <w:rsid w:val="0050085B"/>
    <w:rsid w:val="00500DE3"/>
    <w:rsid w:val="00501197"/>
    <w:rsid w:val="005016D2"/>
    <w:rsid w:val="00501CAB"/>
    <w:rsid w:val="005021B8"/>
    <w:rsid w:val="00503014"/>
    <w:rsid w:val="005041C9"/>
    <w:rsid w:val="00504329"/>
    <w:rsid w:val="00505CB8"/>
    <w:rsid w:val="00506B61"/>
    <w:rsid w:val="00511846"/>
    <w:rsid w:val="00512C9C"/>
    <w:rsid w:val="00513C7C"/>
    <w:rsid w:val="00514DD8"/>
    <w:rsid w:val="00520FEA"/>
    <w:rsid w:val="00522706"/>
    <w:rsid w:val="005234F7"/>
    <w:rsid w:val="00523AAF"/>
    <w:rsid w:val="0052556F"/>
    <w:rsid w:val="00525DF9"/>
    <w:rsid w:val="00531610"/>
    <w:rsid w:val="00531D2A"/>
    <w:rsid w:val="00533904"/>
    <w:rsid w:val="005345AD"/>
    <w:rsid w:val="00535C58"/>
    <w:rsid w:val="00542AF5"/>
    <w:rsid w:val="00547987"/>
    <w:rsid w:val="005501D5"/>
    <w:rsid w:val="00551AA8"/>
    <w:rsid w:val="00552496"/>
    <w:rsid w:val="00552F08"/>
    <w:rsid w:val="005542B8"/>
    <w:rsid w:val="00561DAD"/>
    <w:rsid w:val="00562D11"/>
    <w:rsid w:val="00563D98"/>
    <w:rsid w:val="005643D7"/>
    <w:rsid w:val="0056565E"/>
    <w:rsid w:val="00565857"/>
    <w:rsid w:val="00565C3B"/>
    <w:rsid w:val="005708B3"/>
    <w:rsid w:val="0057217C"/>
    <w:rsid w:val="00576C0C"/>
    <w:rsid w:val="00577239"/>
    <w:rsid w:val="00580AE2"/>
    <w:rsid w:val="00581CDE"/>
    <w:rsid w:val="00581DB6"/>
    <w:rsid w:val="005836B0"/>
    <w:rsid w:val="00591FA5"/>
    <w:rsid w:val="005934A8"/>
    <w:rsid w:val="00595DEB"/>
    <w:rsid w:val="005977E3"/>
    <w:rsid w:val="005A0065"/>
    <w:rsid w:val="005A0A68"/>
    <w:rsid w:val="005A233B"/>
    <w:rsid w:val="005A2F9C"/>
    <w:rsid w:val="005A5469"/>
    <w:rsid w:val="005B2FF5"/>
    <w:rsid w:val="005B3526"/>
    <w:rsid w:val="005B5E8B"/>
    <w:rsid w:val="005B7207"/>
    <w:rsid w:val="005C03F1"/>
    <w:rsid w:val="005C11CB"/>
    <w:rsid w:val="005C1D2E"/>
    <w:rsid w:val="005C2DCC"/>
    <w:rsid w:val="005C49DE"/>
    <w:rsid w:val="005C6AB8"/>
    <w:rsid w:val="005C718D"/>
    <w:rsid w:val="005D13F3"/>
    <w:rsid w:val="005D18A0"/>
    <w:rsid w:val="005D3D53"/>
    <w:rsid w:val="005D4100"/>
    <w:rsid w:val="005D5ABA"/>
    <w:rsid w:val="005D5E01"/>
    <w:rsid w:val="005D6776"/>
    <w:rsid w:val="005D794F"/>
    <w:rsid w:val="005E30FE"/>
    <w:rsid w:val="005E370F"/>
    <w:rsid w:val="005E6072"/>
    <w:rsid w:val="005F09B5"/>
    <w:rsid w:val="005F1C28"/>
    <w:rsid w:val="005F24ED"/>
    <w:rsid w:val="005F2FD7"/>
    <w:rsid w:val="005F675C"/>
    <w:rsid w:val="005F7DB3"/>
    <w:rsid w:val="006010D3"/>
    <w:rsid w:val="00602FB4"/>
    <w:rsid w:val="00610A7B"/>
    <w:rsid w:val="00613468"/>
    <w:rsid w:val="006167E8"/>
    <w:rsid w:val="00621B1F"/>
    <w:rsid w:val="00622BA6"/>
    <w:rsid w:val="0062343A"/>
    <w:rsid w:val="00623FA2"/>
    <w:rsid w:val="00626B67"/>
    <w:rsid w:val="00630076"/>
    <w:rsid w:val="00633EAF"/>
    <w:rsid w:val="006340C2"/>
    <w:rsid w:val="006378EC"/>
    <w:rsid w:val="006440D7"/>
    <w:rsid w:val="00644435"/>
    <w:rsid w:val="006446B5"/>
    <w:rsid w:val="00654668"/>
    <w:rsid w:val="006561AF"/>
    <w:rsid w:val="00656FC5"/>
    <w:rsid w:val="0066111E"/>
    <w:rsid w:val="00661CD0"/>
    <w:rsid w:val="00664E06"/>
    <w:rsid w:val="00665057"/>
    <w:rsid w:val="0066557A"/>
    <w:rsid w:val="00667250"/>
    <w:rsid w:val="00670FB8"/>
    <w:rsid w:val="006728E8"/>
    <w:rsid w:val="00675103"/>
    <w:rsid w:val="0067520B"/>
    <w:rsid w:val="00675214"/>
    <w:rsid w:val="00677D1F"/>
    <w:rsid w:val="00681D84"/>
    <w:rsid w:val="00682004"/>
    <w:rsid w:val="00684ED7"/>
    <w:rsid w:val="006875E0"/>
    <w:rsid w:val="006910E2"/>
    <w:rsid w:val="0069264B"/>
    <w:rsid w:val="00692EF9"/>
    <w:rsid w:val="0069356A"/>
    <w:rsid w:val="00695AEF"/>
    <w:rsid w:val="00696755"/>
    <w:rsid w:val="006A34DF"/>
    <w:rsid w:val="006A3BDC"/>
    <w:rsid w:val="006B0A69"/>
    <w:rsid w:val="006B3F16"/>
    <w:rsid w:val="006B423B"/>
    <w:rsid w:val="006C0EE2"/>
    <w:rsid w:val="006C1844"/>
    <w:rsid w:val="006C44EE"/>
    <w:rsid w:val="006C55BC"/>
    <w:rsid w:val="006C7AD7"/>
    <w:rsid w:val="006D1194"/>
    <w:rsid w:val="006E0410"/>
    <w:rsid w:val="006E0570"/>
    <w:rsid w:val="006E05A4"/>
    <w:rsid w:val="006E267A"/>
    <w:rsid w:val="006E31AF"/>
    <w:rsid w:val="006E436F"/>
    <w:rsid w:val="006E4459"/>
    <w:rsid w:val="006E45E7"/>
    <w:rsid w:val="006F0763"/>
    <w:rsid w:val="006F1746"/>
    <w:rsid w:val="006F1CE0"/>
    <w:rsid w:val="006F29DE"/>
    <w:rsid w:val="006F4056"/>
    <w:rsid w:val="006F73D6"/>
    <w:rsid w:val="006F7D90"/>
    <w:rsid w:val="00700474"/>
    <w:rsid w:val="00700D31"/>
    <w:rsid w:val="00700E12"/>
    <w:rsid w:val="00701891"/>
    <w:rsid w:val="00703500"/>
    <w:rsid w:val="0070545C"/>
    <w:rsid w:val="00710233"/>
    <w:rsid w:val="00712616"/>
    <w:rsid w:val="007137D8"/>
    <w:rsid w:val="007142C0"/>
    <w:rsid w:val="00720AB8"/>
    <w:rsid w:val="00722E5F"/>
    <w:rsid w:val="007232D4"/>
    <w:rsid w:val="00724106"/>
    <w:rsid w:val="00726CC3"/>
    <w:rsid w:val="007308A5"/>
    <w:rsid w:val="00730C2A"/>
    <w:rsid w:val="00733518"/>
    <w:rsid w:val="00735496"/>
    <w:rsid w:val="00736958"/>
    <w:rsid w:val="00737216"/>
    <w:rsid w:val="007403DC"/>
    <w:rsid w:val="00741D39"/>
    <w:rsid w:val="00743200"/>
    <w:rsid w:val="00743B0A"/>
    <w:rsid w:val="00745D35"/>
    <w:rsid w:val="00751437"/>
    <w:rsid w:val="00751514"/>
    <w:rsid w:val="007523EB"/>
    <w:rsid w:val="007533EF"/>
    <w:rsid w:val="00754AB3"/>
    <w:rsid w:val="00754BFA"/>
    <w:rsid w:val="00755AAA"/>
    <w:rsid w:val="00755C8E"/>
    <w:rsid w:val="00760CAE"/>
    <w:rsid w:val="00761656"/>
    <w:rsid w:val="00763A33"/>
    <w:rsid w:val="007641FB"/>
    <w:rsid w:val="00765BC1"/>
    <w:rsid w:val="00766464"/>
    <w:rsid w:val="007671DE"/>
    <w:rsid w:val="00767CC6"/>
    <w:rsid w:val="00770F9A"/>
    <w:rsid w:val="0077456B"/>
    <w:rsid w:val="00774750"/>
    <w:rsid w:val="0077586C"/>
    <w:rsid w:val="00777A11"/>
    <w:rsid w:val="00781129"/>
    <w:rsid w:val="007819C1"/>
    <w:rsid w:val="007847FD"/>
    <w:rsid w:val="0078487D"/>
    <w:rsid w:val="00784BCE"/>
    <w:rsid w:val="00784CB4"/>
    <w:rsid w:val="0078511F"/>
    <w:rsid w:val="00785175"/>
    <w:rsid w:val="0079093B"/>
    <w:rsid w:val="00792127"/>
    <w:rsid w:val="007936F5"/>
    <w:rsid w:val="00793D91"/>
    <w:rsid w:val="00794C67"/>
    <w:rsid w:val="007A140B"/>
    <w:rsid w:val="007A20BD"/>
    <w:rsid w:val="007A4B51"/>
    <w:rsid w:val="007A7353"/>
    <w:rsid w:val="007A76F7"/>
    <w:rsid w:val="007B364C"/>
    <w:rsid w:val="007B5F61"/>
    <w:rsid w:val="007B6E7B"/>
    <w:rsid w:val="007B7F0A"/>
    <w:rsid w:val="007C24EB"/>
    <w:rsid w:val="007C576E"/>
    <w:rsid w:val="007C7E1C"/>
    <w:rsid w:val="007D1B73"/>
    <w:rsid w:val="007D44EF"/>
    <w:rsid w:val="007D493D"/>
    <w:rsid w:val="007D79A2"/>
    <w:rsid w:val="007E091D"/>
    <w:rsid w:val="007E0E0B"/>
    <w:rsid w:val="007E6523"/>
    <w:rsid w:val="007F016D"/>
    <w:rsid w:val="007F0FE6"/>
    <w:rsid w:val="007F1577"/>
    <w:rsid w:val="007F3068"/>
    <w:rsid w:val="007F4BFC"/>
    <w:rsid w:val="007F5929"/>
    <w:rsid w:val="007F5E5B"/>
    <w:rsid w:val="007F6FB6"/>
    <w:rsid w:val="00800D26"/>
    <w:rsid w:val="00803D6A"/>
    <w:rsid w:val="00807546"/>
    <w:rsid w:val="008116BE"/>
    <w:rsid w:val="00811D30"/>
    <w:rsid w:val="008129B8"/>
    <w:rsid w:val="00813990"/>
    <w:rsid w:val="00813E78"/>
    <w:rsid w:val="00813FA0"/>
    <w:rsid w:val="008154D3"/>
    <w:rsid w:val="00817416"/>
    <w:rsid w:val="00817759"/>
    <w:rsid w:val="00817EAC"/>
    <w:rsid w:val="00820EA7"/>
    <w:rsid w:val="008242B9"/>
    <w:rsid w:val="00831675"/>
    <w:rsid w:val="00831929"/>
    <w:rsid w:val="008331B5"/>
    <w:rsid w:val="0083488A"/>
    <w:rsid w:val="008348A3"/>
    <w:rsid w:val="00834B35"/>
    <w:rsid w:val="00834F8D"/>
    <w:rsid w:val="00836CF8"/>
    <w:rsid w:val="0084234E"/>
    <w:rsid w:val="0084470A"/>
    <w:rsid w:val="00846569"/>
    <w:rsid w:val="00851EF7"/>
    <w:rsid w:val="00853C60"/>
    <w:rsid w:val="00854298"/>
    <w:rsid w:val="00855F98"/>
    <w:rsid w:val="0086073B"/>
    <w:rsid w:val="008623B2"/>
    <w:rsid w:val="00862659"/>
    <w:rsid w:val="008627FA"/>
    <w:rsid w:val="00862C2A"/>
    <w:rsid w:val="00862FB9"/>
    <w:rsid w:val="00863FBB"/>
    <w:rsid w:val="00864B28"/>
    <w:rsid w:val="0086527F"/>
    <w:rsid w:val="00866E38"/>
    <w:rsid w:val="00867177"/>
    <w:rsid w:val="0086795A"/>
    <w:rsid w:val="00871E5B"/>
    <w:rsid w:val="00873D51"/>
    <w:rsid w:val="00875719"/>
    <w:rsid w:val="00876ABA"/>
    <w:rsid w:val="00876F6D"/>
    <w:rsid w:val="00881B43"/>
    <w:rsid w:val="00883110"/>
    <w:rsid w:val="00883CDC"/>
    <w:rsid w:val="00884CE6"/>
    <w:rsid w:val="00890110"/>
    <w:rsid w:val="00890C1E"/>
    <w:rsid w:val="00893649"/>
    <w:rsid w:val="00896939"/>
    <w:rsid w:val="00897EC0"/>
    <w:rsid w:val="008A2F45"/>
    <w:rsid w:val="008A3175"/>
    <w:rsid w:val="008A69D1"/>
    <w:rsid w:val="008A6E16"/>
    <w:rsid w:val="008B1A50"/>
    <w:rsid w:val="008B2675"/>
    <w:rsid w:val="008B41A9"/>
    <w:rsid w:val="008C03C7"/>
    <w:rsid w:val="008C11B7"/>
    <w:rsid w:val="008C280E"/>
    <w:rsid w:val="008C65C3"/>
    <w:rsid w:val="008C6BE4"/>
    <w:rsid w:val="008C6CCC"/>
    <w:rsid w:val="008D559F"/>
    <w:rsid w:val="008D61EA"/>
    <w:rsid w:val="008E13C8"/>
    <w:rsid w:val="008E25CD"/>
    <w:rsid w:val="008E34B8"/>
    <w:rsid w:val="008E37A9"/>
    <w:rsid w:val="008E5849"/>
    <w:rsid w:val="008E7935"/>
    <w:rsid w:val="008E7955"/>
    <w:rsid w:val="008F0922"/>
    <w:rsid w:val="008F09A2"/>
    <w:rsid w:val="008F221D"/>
    <w:rsid w:val="008F29B0"/>
    <w:rsid w:val="008F2C9B"/>
    <w:rsid w:val="008F2F54"/>
    <w:rsid w:val="008F5613"/>
    <w:rsid w:val="008F5F6A"/>
    <w:rsid w:val="008F7058"/>
    <w:rsid w:val="008F7DB4"/>
    <w:rsid w:val="009012CE"/>
    <w:rsid w:val="00901443"/>
    <w:rsid w:val="00904416"/>
    <w:rsid w:val="00905770"/>
    <w:rsid w:val="009072E1"/>
    <w:rsid w:val="00907D19"/>
    <w:rsid w:val="00907EB2"/>
    <w:rsid w:val="009107E1"/>
    <w:rsid w:val="0091307F"/>
    <w:rsid w:val="0091344E"/>
    <w:rsid w:val="009144DE"/>
    <w:rsid w:val="00915DC7"/>
    <w:rsid w:val="009172B4"/>
    <w:rsid w:val="00917546"/>
    <w:rsid w:val="00922D59"/>
    <w:rsid w:val="0092552A"/>
    <w:rsid w:val="00927167"/>
    <w:rsid w:val="0093192F"/>
    <w:rsid w:val="00931F79"/>
    <w:rsid w:val="009324D1"/>
    <w:rsid w:val="009358FA"/>
    <w:rsid w:val="00935A8E"/>
    <w:rsid w:val="00936E6A"/>
    <w:rsid w:val="00942433"/>
    <w:rsid w:val="00945235"/>
    <w:rsid w:val="00947D7B"/>
    <w:rsid w:val="009502CE"/>
    <w:rsid w:val="00950754"/>
    <w:rsid w:val="00955DAF"/>
    <w:rsid w:val="00956312"/>
    <w:rsid w:val="00960B05"/>
    <w:rsid w:val="00960F2E"/>
    <w:rsid w:val="00961E49"/>
    <w:rsid w:val="00962BE3"/>
    <w:rsid w:val="0096332F"/>
    <w:rsid w:val="00965289"/>
    <w:rsid w:val="0097041F"/>
    <w:rsid w:val="00970EE3"/>
    <w:rsid w:val="009733A3"/>
    <w:rsid w:val="009758DD"/>
    <w:rsid w:val="00975D05"/>
    <w:rsid w:val="00976717"/>
    <w:rsid w:val="0097780A"/>
    <w:rsid w:val="00982885"/>
    <w:rsid w:val="0098420E"/>
    <w:rsid w:val="009862AD"/>
    <w:rsid w:val="009906C3"/>
    <w:rsid w:val="0099156F"/>
    <w:rsid w:val="00992CCF"/>
    <w:rsid w:val="009940DD"/>
    <w:rsid w:val="00994837"/>
    <w:rsid w:val="00994F66"/>
    <w:rsid w:val="00996CF0"/>
    <w:rsid w:val="00997037"/>
    <w:rsid w:val="00997322"/>
    <w:rsid w:val="009974A8"/>
    <w:rsid w:val="009979BB"/>
    <w:rsid w:val="009A19A1"/>
    <w:rsid w:val="009A3AE6"/>
    <w:rsid w:val="009A44A1"/>
    <w:rsid w:val="009A5C99"/>
    <w:rsid w:val="009A6885"/>
    <w:rsid w:val="009A6A8B"/>
    <w:rsid w:val="009A71BA"/>
    <w:rsid w:val="009A71DB"/>
    <w:rsid w:val="009A751B"/>
    <w:rsid w:val="009B0CC2"/>
    <w:rsid w:val="009B4B94"/>
    <w:rsid w:val="009C00C9"/>
    <w:rsid w:val="009C1BC3"/>
    <w:rsid w:val="009C2205"/>
    <w:rsid w:val="009C2918"/>
    <w:rsid w:val="009C2BBA"/>
    <w:rsid w:val="009C325B"/>
    <w:rsid w:val="009C5C7F"/>
    <w:rsid w:val="009C7D2C"/>
    <w:rsid w:val="009D13E1"/>
    <w:rsid w:val="009D252D"/>
    <w:rsid w:val="009D29F3"/>
    <w:rsid w:val="009D6216"/>
    <w:rsid w:val="009D6BD6"/>
    <w:rsid w:val="009E0B13"/>
    <w:rsid w:val="009E14E6"/>
    <w:rsid w:val="009E1973"/>
    <w:rsid w:val="009E207C"/>
    <w:rsid w:val="009E22D8"/>
    <w:rsid w:val="009E34D3"/>
    <w:rsid w:val="009E6126"/>
    <w:rsid w:val="009E6284"/>
    <w:rsid w:val="009F3AED"/>
    <w:rsid w:val="009F3B32"/>
    <w:rsid w:val="009F5C48"/>
    <w:rsid w:val="009F6060"/>
    <w:rsid w:val="00A02E83"/>
    <w:rsid w:val="00A047AE"/>
    <w:rsid w:val="00A068B3"/>
    <w:rsid w:val="00A12938"/>
    <w:rsid w:val="00A13260"/>
    <w:rsid w:val="00A2059B"/>
    <w:rsid w:val="00A2173E"/>
    <w:rsid w:val="00A225AB"/>
    <w:rsid w:val="00A23F82"/>
    <w:rsid w:val="00A248EC"/>
    <w:rsid w:val="00A269F3"/>
    <w:rsid w:val="00A27F2C"/>
    <w:rsid w:val="00A34C5A"/>
    <w:rsid w:val="00A41286"/>
    <w:rsid w:val="00A41EFD"/>
    <w:rsid w:val="00A42115"/>
    <w:rsid w:val="00A423A8"/>
    <w:rsid w:val="00A425A9"/>
    <w:rsid w:val="00A441E7"/>
    <w:rsid w:val="00A458EE"/>
    <w:rsid w:val="00A45A4B"/>
    <w:rsid w:val="00A45FAA"/>
    <w:rsid w:val="00A46D35"/>
    <w:rsid w:val="00A46F2A"/>
    <w:rsid w:val="00A522C6"/>
    <w:rsid w:val="00A5564C"/>
    <w:rsid w:val="00A55B4B"/>
    <w:rsid w:val="00A55E1A"/>
    <w:rsid w:val="00A567F0"/>
    <w:rsid w:val="00A6109C"/>
    <w:rsid w:val="00A61E9C"/>
    <w:rsid w:val="00A64C94"/>
    <w:rsid w:val="00A6587A"/>
    <w:rsid w:val="00A65F9C"/>
    <w:rsid w:val="00A66473"/>
    <w:rsid w:val="00A70FB5"/>
    <w:rsid w:val="00A72BAD"/>
    <w:rsid w:val="00A7567B"/>
    <w:rsid w:val="00A77131"/>
    <w:rsid w:val="00A772A4"/>
    <w:rsid w:val="00A8041E"/>
    <w:rsid w:val="00A815B8"/>
    <w:rsid w:val="00A83AAF"/>
    <w:rsid w:val="00A84520"/>
    <w:rsid w:val="00A85360"/>
    <w:rsid w:val="00A854FC"/>
    <w:rsid w:val="00A85959"/>
    <w:rsid w:val="00A86CB7"/>
    <w:rsid w:val="00A90378"/>
    <w:rsid w:val="00A907FA"/>
    <w:rsid w:val="00A9145E"/>
    <w:rsid w:val="00A945BA"/>
    <w:rsid w:val="00AA019B"/>
    <w:rsid w:val="00AA301A"/>
    <w:rsid w:val="00AA36A1"/>
    <w:rsid w:val="00AA65F0"/>
    <w:rsid w:val="00AB2C93"/>
    <w:rsid w:val="00AB4566"/>
    <w:rsid w:val="00AB4ED5"/>
    <w:rsid w:val="00AC581F"/>
    <w:rsid w:val="00AC6F16"/>
    <w:rsid w:val="00AD0209"/>
    <w:rsid w:val="00AD178E"/>
    <w:rsid w:val="00AD2435"/>
    <w:rsid w:val="00AD4106"/>
    <w:rsid w:val="00AD64E3"/>
    <w:rsid w:val="00AD6CB3"/>
    <w:rsid w:val="00AD72FC"/>
    <w:rsid w:val="00AE346D"/>
    <w:rsid w:val="00AE3BF1"/>
    <w:rsid w:val="00AE418A"/>
    <w:rsid w:val="00AE467A"/>
    <w:rsid w:val="00AE4A71"/>
    <w:rsid w:val="00AE6827"/>
    <w:rsid w:val="00AE7757"/>
    <w:rsid w:val="00AF037D"/>
    <w:rsid w:val="00AF237C"/>
    <w:rsid w:val="00AF4EF0"/>
    <w:rsid w:val="00AF5460"/>
    <w:rsid w:val="00AF5B73"/>
    <w:rsid w:val="00AF5C2B"/>
    <w:rsid w:val="00AF6EF8"/>
    <w:rsid w:val="00AF72A8"/>
    <w:rsid w:val="00B0074B"/>
    <w:rsid w:val="00B0083E"/>
    <w:rsid w:val="00B01921"/>
    <w:rsid w:val="00B02765"/>
    <w:rsid w:val="00B05E42"/>
    <w:rsid w:val="00B05FC2"/>
    <w:rsid w:val="00B063F5"/>
    <w:rsid w:val="00B07B75"/>
    <w:rsid w:val="00B1025B"/>
    <w:rsid w:val="00B10800"/>
    <w:rsid w:val="00B11C49"/>
    <w:rsid w:val="00B12774"/>
    <w:rsid w:val="00B12FBF"/>
    <w:rsid w:val="00B14209"/>
    <w:rsid w:val="00B201ED"/>
    <w:rsid w:val="00B2211B"/>
    <w:rsid w:val="00B2559E"/>
    <w:rsid w:val="00B25A63"/>
    <w:rsid w:val="00B25B35"/>
    <w:rsid w:val="00B25C66"/>
    <w:rsid w:val="00B27972"/>
    <w:rsid w:val="00B27A99"/>
    <w:rsid w:val="00B27BBF"/>
    <w:rsid w:val="00B305C7"/>
    <w:rsid w:val="00B30957"/>
    <w:rsid w:val="00B30CE2"/>
    <w:rsid w:val="00B30DCC"/>
    <w:rsid w:val="00B312DB"/>
    <w:rsid w:val="00B344D7"/>
    <w:rsid w:val="00B357F8"/>
    <w:rsid w:val="00B37131"/>
    <w:rsid w:val="00B376FF"/>
    <w:rsid w:val="00B42531"/>
    <w:rsid w:val="00B43311"/>
    <w:rsid w:val="00B45C5E"/>
    <w:rsid w:val="00B4660F"/>
    <w:rsid w:val="00B466E2"/>
    <w:rsid w:val="00B4720C"/>
    <w:rsid w:val="00B474C2"/>
    <w:rsid w:val="00B501E3"/>
    <w:rsid w:val="00B50C8D"/>
    <w:rsid w:val="00B52FE0"/>
    <w:rsid w:val="00B540FD"/>
    <w:rsid w:val="00B548C3"/>
    <w:rsid w:val="00B5598E"/>
    <w:rsid w:val="00B5612B"/>
    <w:rsid w:val="00B56749"/>
    <w:rsid w:val="00B70F8C"/>
    <w:rsid w:val="00B71F4D"/>
    <w:rsid w:val="00B723E9"/>
    <w:rsid w:val="00B758A9"/>
    <w:rsid w:val="00B75BE4"/>
    <w:rsid w:val="00B77E97"/>
    <w:rsid w:val="00B8040D"/>
    <w:rsid w:val="00B8175D"/>
    <w:rsid w:val="00B8286C"/>
    <w:rsid w:val="00B82D66"/>
    <w:rsid w:val="00B84D14"/>
    <w:rsid w:val="00B85461"/>
    <w:rsid w:val="00B93D89"/>
    <w:rsid w:val="00B95CB5"/>
    <w:rsid w:val="00BA02FA"/>
    <w:rsid w:val="00BA187B"/>
    <w:rsid w:val="00BA3317"/>
    <w:rsid w:val="00BA3AEB"/>
    <w:rsid w:val="00BA55CF"/>
    <w:rsid w:val="00BA5E07"/>
    <w:rsid w:val="00BA76CD"/>
    <w:rsid w:val="00BB0F5B"/>
    <w:rsid w:val="00BB26B7"/>
    <w:rsid w:val="00BB44BD"/>
    <w:rsid w:val="00BB78DE"/>
    <w:rsid w:val="00BC0BDF"/>
    <w:rsid w:val="00BC1404"/>
    <w:rsid w:val="00BC2815"/>
    <w:rsid w:val="00BC626F"/>
    <w:rsid w:val="00BC710D"/>
    <w:rsid w:val="00BC7DCA"/>
    <w:rsid w:val="00BD0ABB"/>
    <w:rsid w:val="00BD14BA"/>
    <w:rsid w:val="00BD4421"/>
    <w:rsid w:val="00BD5397"/>
    <w:rsid w:val="00BD5D1C"/>
    <w:rsid w:val="00BD77C3"/>
    <w:rsid w:val="00BE019E"/>
    <w:rsid w:val="00BE02A2"/>
    <w:rsid w:val="00BE0A98"/>
    <w:rsid w:val="00BE21A4"/>
    <w:rsid w:val="00BE2E3A"/>
    <w:rsid w:val="00BE331E"/>
    <w:rsid w:val="00BE381E"/>
    <w:rsid w:val="00BE6A2F"/>
    <w:rsid w:val="00BF070F"/>
    <w:rsid w:val="00BF0F3B"/>
    <w:rsid w:val="00BF133B"/>
    <w:rsid w:val="00BF2A18"/>
    <w:rsid w:val="00BF325B"/>
    <w:rsid w:val="00BF3D7E"/>
    <w:rsid w:val="00BF44B1"/>
    <w:rsid w:val="00BF4C44"/>
    <w:rsid w:val="00BF4F49"/>
    <w:rsid w:val="00BF538F"/>
    <w:rsid w:val="00BF6DA9"/>
    <w:rsid w:val="00C00087"/>
    <w:rsid w:val="00C05279"/>
    <w:rsid w:val="00C05683"/>
    <w:rsid w:val="00C05CB4"/>
    <w:rsid w:val="00C07BB8"/>
    <w:rsid w:val="00C10D22"/>
    <w:rsid w:val="00C11CCA"/>
    <w:rsid w:val="00C126FA"/>
    <w:rsid w:val="00C12B8B"/>
    <w:rsid w:val="00C12D0C"/>
    <w:rsid w:val="00C23AD1"/>
    <w:rsid w:val="00C25074"/>
    <w:rsid w:val="00C27FB4"/>
    <w:rsid w:val="00C318D1"/>
    <w:rsid w:val="00C324CB"/>
    <w:rsid w:val="00C340A9"/>
    <w:rsid w:val="00C34B30"/>
    <w:rsid w:val="00C36232"/>
    <w:rsid w:val="00C37C1D"/>
    <w:rsid w:val="00C40BC3"/>
    <w:rsid w:val="00C40F2E"/>
    <w:rsid w:val="00C41F13"/>
    <w:rsid w:val="00C46EA5"/>
    <w:rsid w:val="00C47268"/>
    <w:rsid w:val="00C47979"/>
    <w:rsid w:val="00C50CD3"/>
    <w:rsid w:val="00C52035"/>
    <w:rsid w:val="00C526D2"/>
    <w:rsid w:val="00C56BBF"/>
    <w:rsid w:val="00C572BB"/>
    <w:rsid w:val="00C62F74"/>
    <w:rsid w:val="00C63D94"/>
    <w:rsid w:val="00C663B5"/>
    <w:rsid w:val="00C6699E"/>
    <w:rsid w:val="00C66AD1"/>
    <w:rsid w:val="00C70E02"/>
    <w:rsid w:val="00C73775"/>
    <w:rsid w:val="00C76678"/>
    <w:rsid w:val="00C81846"/>
    <w:rsid w:val="00C822A5"/>
    <w:rsid w:val="00C82517"/>
    <w:rsid w:val="00C85C68"/>
    <w:rsid w:val="00C85F85"/>
    <w:rsid w:val="00C86392"/>
    <w:rsid w:val="00C87166"/>
    <w:rsid w:val="00C91427"/>
    <w:rsid w:val="00C91971"/>
    <w:rsid w:val="00C92369"/>
    <w:rsid w:val="00C92D9C"/>
    <w:rsid w:val="00C93C80"/>
    <w:rsid w:val="00C94787"/>
    <w:rsid w:val="00C96109"/>
    <w:rsid w:val="00CA2282"/>
    <w:rsid w:val="00CA54CC"/>
    <w:rsid w:val="00CA6CEE"/>
    <w:rsid w:val="00CB13F5"/>
    <w:rsid w:val="00CB348B"/>
    <w:rsid w:val="00CB3CB5"/>
    <w:rsid w:val="00CB3DB3"/>
    <w:rsid w:val="00CB4CE3"/>
    <w:rsid w:val="00CB5192"/>
    <w:rsid w:val="00CB75A2"/>
    <w:rsid w:val="00CC07A0"/>
    <w:rsid w:val="00CC1542"/>
    <w:rsid w:val="00CC3749"/>
    <w:rsid w:val="00CC6BFE"/>
    <w:rsid w:val="00CC7578"/>
    <w:rsid w:val="00CD095A"/>
    <w:rsid w:val="00CD2907"/>
    <w:rsid w:val="00CD4A77"/>
    <w:rsid w:val="00CD6AA3"/>
    <w:rsid w:val="00CE12C1"/>
    <w:rsid w:val="00CE21E3"/>
    <w:rsid w:val="00CE5BE9"/>
    <w:rsid w:val="00CE61A4"/>
    <w:rsid w:val="00CE6A44"/>
    <w:rsid w:val="00CF0179"/>
    <w:rsid w:val="00CF0A3F"/>
    <w:rsid w:val="00CF31E8"/>
    <w:rsid w:val="00CF56E1"/>
    <w:rsid w:val="00CF5D84"/>
    <w:rsid w:val="00CF5DB4"/>
    <w:rsid w:val="00CF76A4"/>
    <w:rsid w:val="00D00A39"/>
    <w:rsid w:val="00D02710"/>
    <w:rsid w:val="00D02BD8"/>
    <w:rsid w:val="00D05182"/>
    <w:rsid w:val="00D053A4"/>
    <w:rsid w:val="00D072B9"/>
    <w:rsid w:val="00D07F0D"/>
    <w:rsid w:val="00D106E8"/>
    <w:rsid w:val="00D12485"/>
    <w:rsid w:val="00D15278"/>
    <w:rsid w:val="00D209E1"/>
    <w:rsid w:val="00D22068"/>
    <w:rsid w:val="00D2232F"/>
    <w:rsid w:val="00D22AC7"/>
    <w:rsid w:val="00D231FD"/>
    <w:rsid w:val="00D23C19"/>
    <w:rsid w:val="00D263AE"/>
    <w:rsid w:val="00D26AFE"/>
    <w:rsid w:val="00D27D64"/>
    <w:rsid w:val="00D30C4F"/>
    <w:rsid w:val="00D3687F"/>
    <w:rsid w:val="00D36B6F"/>
    <w:rsid w:val="00D3770C"/>
    <w:rsid w:val="00D4144A"/>
    <w:rsid w:val="00D416F2"/>
    <w:rsid w:val="00D425F1"/>
    <w:rsid w:val="00D42728"/>
    <w:rsid w:val="00D435B9"/>
    <w:rsid w:val="00D4662A"/>
    <w:rsid w:val="00D473CB"/>
    <w:rsid w:val="00D47518"/>
    <w:rsid w:val="00D4790F"/>
    <w:rsid w:val="00D5037B"/>
    <w:rsid w:val="00D51F1D"/>
    <w:rsid w:val="00D5584A"/>
    <w:rsid w:val="00D562F2"/>
    <w:rsid w:val="00D56EA9"/>
    <w:rsid w:val="00D57308"/>
    <w:rsid w:val="00D57B6F"/>
    <w:rsid w:val="00D6035B"/>
    <w:rsid w:val="00D61B58"/>
    <w:rsid w:val="00D62993"/>
    <w:rsid w:val="00D64685"/>
    <w:rsid w:val="00D646C6"/>
    <w:rsid w:val="00D67B2C"/>
    <w:rsid w:val="00D72AC1"/>
    <w:rsid w:val="00D741F0"/>
    <w:rsid w:val="00D75136"/>
    <w:rsid w:val="00D768B7"/>
    <w:rsid w:val="00D77FDB"/>
    <w:rsid w:val="00D80400"/>
    <w:rsid w:val="00D80B9F"/>
    <w:rsid w:val="00D80E0B"/>
    <w:rsid w:val="00D81AF7"/>
    <w:rsid w:val="00D81D54"/>
    <w:rsid w:val="00D829A5"/>
    <w:rsid w:val="00D82D1F"/>
    <w:rsid w:val="00D865F4"/>
    <w:rsid w:val="00D86CDC"/>
    <w:rsid w:val="00D931F4"/>
    <w:rsid w:val="00D96B08"/>
    <w:rsid w:val="00DA0558"/>
    <w:rsid w:val="00DA07B1"/>
    <w:rsid w:val="00DA103D"/>
    <w:rsid w:val="00DA1509"/>
    <w:rsid w:val="00DA26F7"/>
    <w:rsid w:val="00DA4757"/>
    <w:rsid w:val="00DA571F"/>
    <w:rsid w:val="00DA5B13"/>
    <w:rsid w:val="00DB05E9"/>
    <w:rsid w:val="00DB0847"/>
    <w:rsid w:val="00DB216D"/>
    <w:rsid w:val="00DB3F80"/>
    <w:rsid w:val="00DB4F8F"/>
    <w:rsid w:val="00DB5E12"/>
    <w:rsid w:val="00DB5FB9"/>
    <w:rsid w:val="00DC01A3"/>
    <w:rsid w:val="00DC14D1"/>
    <w:rsid w:val="00DC289C"/>
    <w:rsid w:val="00DC3D5F"/>
    <w:rsid w:val="00DC61BF"/>
    <w:rsid w:val="00DC62B6"/>
    <w:rsid w:val="00DD0D65"/>
    <w:rsid w:val="00DD43D5"/>
    <w:rsid w:val="00DD65F5"/>
    <w:rsid w:val="00DD6FD1"/>
    <w:rsid w:val="00DE2B32"/>
    <w:rsid w:val="00DE4791"/>
    <w:rsid w:val="00DE57D3"/>
    <w:rsid w:val="00DE66D8"/>
    <w:rsid w:val="00DF13C7"/>
    <w:rsid w:val="00DF144B"/>
    <w:rsid w:val="00DF3824"/>
    <w:rsid w:val="00DF422B"/>
    <w:rsid w:val="00DF4FE0"/>
    <w:rsid w:val="00DF662A"/>
    <w:rsid w:val="00DF6AA8"/>
    <w:rsid w:val="00DF74E4"/>
    <w:rsid w:val="00DF78A0"/>
    <w:rsid w:val="00E02DEE"/>
    <w:rsid w:val="00E063C2"/>
    <w:rsid w:val="00E12B71"/>
    <w:rsid w:val="00E130D2"/>
    <w:rsid w:val="00E14864"/>
    <w:rsid w:val="00E14922"/>
    <w:rsid w:val="00E160CE"/>
    <w:rsid w:val="00E17168"/>
    <w:rsid w:val="00E21DCE"/>
    <w:rsid w:val="00E2371F"/>
    <w:rsid w:val="00E26AA7"/>
    <w:rsid w:val="00E3170A"/>
    <w:rsid w:val="00E32046"/>
    <w:rsid w:val="00E33F55"/>
    <w:rsid w:val="00E40212"/>
    <w:rsid w:val="00E403D6"/>
    <w:rsid w:val="00E4048E"/>
    <w:rsid w:val="00E419E6"/>
    <w:rsid w:val="00E45A73"/>
    <w:rsid w:val="00E465DC"/>
    <w:rsid w:val="00E52070"/>
    <w:rsid w:val="00E542E6"/>
    <w:rsid w:val="00E5748A"/>
    <w:rsid w:val="00E61705"/>
    <w:rsid w:val="00E6226F"/>
    <w:rsid w:val="00E636D8"/>
    <w:rsid w:val="00E650C9"/>
    <w:rsid w:val="00E67F67"/>
    <w:rsid w:val="00E72802"/>
    <w:rsid w:val="00E77B6A"/>
    <w:rsid w:val="00E80E0C"/>
    <w:rsid w:val="00E82723"/>
    <w:rsid w:val="00E82D57"/>
    <w:rsid w:val="00E82FCE"/>
    <w:rsid w:val="00E84434"/>
    <w:rsid w:val="00E87705"/>
    <w:rsid w:val="00E87D24"/>
    <w:rsid w:val="00E909D3"/>
    <w:rsid w:val="00E91AA9"/>
    <w:rsid w:val="00E92AF9"/>
    <w:rsid w:val="00E93AD3"/>
    <w:rsid w:val="00E94549"/>
    <w:rsid w:val="00E9474E"/>
    <w:rsid w:val="00E97A63"/>
    <w:rsid w:val="00EA2CD5"/>
    <w:rsid w:val="00EA3F54"/>
    <w:rsid w:val="00EA476B"/>
    <w:rsid w:val="00EA58F6"/>
    <w:rsid w:val="00EA5C37"/>
    <w:rsid w:val="00EA6055"/>
    <w:rsid w:val="00EA62CF"/>
    <w:rsid w:val="00EA72DC"/>
    <w:rsid w:val="00EA7587"/>
    <w:rsid w:val="00EA7E89"/>
    <w:rsid w:val="00EB3380"/>
    <w:rsid w:val="00EB54A8"/>
    <w:rsid w:val="00EB68A3"/>
    <w:rsid w:val="00EC2B4A"/>
    <w:rsid w:val="00EC2C5B"/>
    <w:rsid w:val="00EC6715"/>
    <w:rsid w:val="00ED132D"/>
    <w:rsid w:val="00ED1F0F"/>
    <w:rsid w:val="00ED6595"/>
    <w:rsid w:val="00EE0D88"/>
    <w:rsid w:val="00EE0EDD"/>
    <w:rsid w:val="00EE0F69"/>
    <w:rsid w:val="00EE1FD4"/>
    <w:rsid w:val="00EE2F72"/>
    <w:rsid w:val="00EE3EC6"/>
    <w:rsid w:val="00EE49C3"/>
    <w:rsid w:val="00EE5F76"/>
    <w:rsid w:val="00EE65E6"/>
    <w:rsid w:val="00EE7D0D"/>
    <w:rsid w:val="00EF32AE"/>
    <w:rsid w:val="00EF3BAB"/>
    <w:rsid w:val="00EF4B6A"/>
    <w:rsid w:val="00EF5B48"/>
    <w:rsid w:val="00EF68AD"/>
    <w:rsid w:val="00F00440"/>
    <w:rsid w:val="00F0287C"/>
    <w:rsid w:val="00F037B9"/>
    <w:rsid w:val="00F0444F"/>
    <w:rsid w:val="00F05EF9"/>
    <w:rsid w:val="00F06E01"/>
    <w:rsid w:val="00F111B9"/>
    <w:rsid w:val="00F13947"/>
    <w:rsid w:val="00F14125"/>
    <w:rsid w:val="00F1592F"/>
    <w:rsid w:val="00F15B6E"/>
    <w:rsid w:val="00F17C8E"/>
    <w:rsid w:val="00F21772"/>
    <w:rsid w:val="00F2310F"/>
    <w:rsid w:val="00F25C5E"/>
    <w:rsid w:val="00F26737"/>
    <w:rsid w:val="00F347C9"/>
    <w:rsid w:val="00F35296"/>
    <w:rsid w:val="00F37262"/>
    <w:rsid w:val="00F470BE"/>
    <w:rsid w:val="00F501D0"/>
    <w:rsid w:val="00F50D32"/>
    <w:rsid w:val="00F543F9"/>
    <w:rsid w:val="00F54945"/>
    <w:rsid w:val="00F6278D"/>
    <w:rsid w:val="00F63886"/>
    <w:rsid w:val="00F67926"/>
    <w:rsid w:val="00F710E0"/>
    <w:rsid w:val="00F720CF"/>
    <w:rsid w:val="00F73361"/>
    <w:rsid w:val="00F73CC8"/>
    <w:rsid w:val="00F753D4"/>
    <w:rsid w:val="00F777C1"/>
    <w:rsid w:val="00F83EA6"/>
    <w:rsid w:val="00F873EA"/>
    <w:rsid w:val="00F930AC"/>
    <w:rsid w:val="00F94151"/>
    <w:rsid w:val="00F94F64"/>
    <w:rsid w:val="00F95CE5"/>
    <w:rsid w:val="00F95FC2"/>
    <w:rsid w:val="00F96D57"/>
    <w:rsid w:val="00F97540"/>
    <w:rsid w:val="00FA2E51"/>
    <w:rsid w:val="00FA4A50"/>
    <w:rsid w:val="00FA5699"/>
    <w:rsid w:val="00FA6B4B"/>
    <w:rsid w:val="00FB23EC"/>
    <w:rsid w:val="00FB492A"/>
    <w:rsid w:val="00FB4DA8"/>
    <w:rsid w:val="00FC299B"/>
    <w:rsid w:val="00FC4629"/>
    <w:rsid w:val="00FC6127"/>
    <w:rsid w:val="00FC61DD"/>
    <w:rsid w:val="00FC6208"/>
    <w:rsid w:val="00FC6F01"/>
    <w:rsid w:val="00FD4F3C"/>
    <w:rsid w:val="00FD74BB"/>
    <w:rsid w:val="00FD7508"/>
    <w:rsid w:val="00FD7DA5"/>
    <w:rsid w:val="00FE0AE9"/>
    <w:rsid w:val="00FE0E8C"/>
    <w:rsid w:val="00FE247B"/>
    <w:rsid w:val="00FE323F"/>
    <w:rsid w:val="00FE3A77"/>
    <w:rsid w:val="00FF22E5"/>
    <w:rsid w:val="00FF2699"/>
    <w:rsid w:val="00FF26E3"/>
    <w:rsid w:val="00FF42D7"/>
    <w:rsid w:val="00FF4C3B"/>
    <w:rsid w:val="00FF7E7D"/>
    <w:rsid w:val="010C2BAB"/>
    <w:rsid w:val="012B5F52"/>
    <w:rsid w:val="01352967"/>
    <w:rsid w:val="01505CFB"/>
    <w:rsid w:val="01535CC4"/>
    <w:rsid w:val="01673D93"/>
    <w:rsid w:val="017F5725"/>
    <w:rsid w:val="01A00C4B"/>
    <w:rsid w:val="02080908"/>
    <w:rsid w:val="023128A5"/>
    <w:rsid w:val="02421D02"/>
    <w:rsid w:val="02616812"/>
    <w:rsid w:val="0295339B"/>
    <w:rsid w:val="02AA4DA1"/>
    <w:rsid w:val="03205178"/>
    <w:rsid w:val="034800F6"/>
    <w:rsid w:val="04180F6C"/>
    <w:rsid w:val="042A2992"/>
    <w:rsid w:val="04425FE9"/>
    <w:rsid w:val="0469042F"/>
    <w:rsid w:val="047A1C32"/>
    <w:rsid w:val="0481369D"/>
    <w:rsid w:val="04A66578"/>
    <w:rsid w:val="04B035D7"/>
    <w:rsid w:val="04B50EB1"/>
    <w:rsid w:val="051E3AF9"/>
    <w:rsid w:val="05512AE3"/>
    <w:rsid w:val="05532906"/>
    <w:rsid w:val="056326BB"/>
    <w:rsid w:val="0570657B"/>
    <w:rsid w:val="05876D37"/>
    <w:rsid w:val="05935E1D"/>
    <w:rsid w:val="05B43558"/>
    <w:rsid w:val="05BB42A5"/>
    <w:rsid w:val="05E675CB"/>
    <w:rsid w:val="05E94B07"/>
    <w:rsid w:val="05F70D2B"/>
    <w:rsid w:val="0611452B"/>
    <w:rsid w:val="061834A6"/>
    <w:rsid w:val="062A142B"/>
    <w:rsid w:val="0659586C"/>
    <w:rsid w:val="06AB5D57"/>
    <w:rsid w:val="06AC2F3C"/>
    <w:rsid w:val="06CA7ADA"/>
    <w:rsid w:val="06D97B7D"/>
    <w:rsid w:val="07061550"/>
    <w:rsid w:val="07F817E1"/>
    <w:rsid w:val="07FE66CB"/>
    <w:rsid w:val="084F79CD"/>
    <w:rsid w:val="08901A19"/>
    <w:rsid w:val="08E06A0B"/>
    <w:rsid w:val="08E468C7"/>
    <w:rsid w:val="08EC0CC4"/>
    <w:rsid w:val="093D5B9C"/>
    <w:rsid w:val="099512B1"/>
    <w:rsid w:val="09BC58CD"/>
    <w:rsid w:val="09EF4DDA"/>
    <w:rsid w:val="0A7B17CC"/>
    <w:rsid w:val="0AAE6C6E"/>
    <w:rsid w:val="0AC631DE"/>
    <w:rsid w:val="0AC93120"/>
    <w:rsid w:val="0ACF19B1"/>
    <w:rsid w:val="0B4B1C27"/>
    <w:rsid w:val="0B4F5282"/>
    <w:rsid w:val="0B5F0E78"/>
    <w:rsid w:val="0B702921"/>
    <w:rsid w:val="0B887BDD"/>
    <w:rsid w:val="0BB96763"/>
    <w:rsid w:val="0BCB4B6A"/>
    <w:rsid w:val="0BD948DD"/>
    <w:rsid w:val="0BE03D36"/>
    <w:rsid w:val="0BE42B54"/>
    <w:rsid w:val="0BE81B6C"/>
    <w:rsid w:val="0C1E6991"/>
    <w:rsid w:val="0C41784F"/>
    <w:rsid w:val="0C621C51"/>
    <w:rsid w:val="0C945850"/>
    <w:rsid w:val="0C9D4705"/>
    <w:rsid w:val="0CA403E4"/>
    <w:rsid w:val="0CC021A1"/>
    <w:rsid w:val="0CDE3FE8"/>
    <w:rsid w:val="0D026C5D"/>
    <w:rsid w:val="0D2019A8"/>
    <w:rsid w:val="0D8238FA"/>
    <w:rsid w:val="0D82620F"/>
    <w:rsid w:val="0D9901EF"/>
    <w:rsid w:val="0DC72309"/>
    <w:rsid w:val="0DF054F8"/>
    <w:rsid w:val="0DFD36A2"/>
    <w:rsid w:val="0E3E3CC5"/>
    <w:rsid w:val="0EE46C6A"/>
    <w:rsid w:val="0F0B7ADA"/>
    <w:rsid w:val="0F0C5B71"/>
    <w:rsid w:val="0F0C73E6"/>
    <w:rsid w:val="0F0F11BE"/>
    <w:rsid w:val="0F2A03FC"/>
    <w:rsid w:val="0F314C43"/>
    <w:rsid w:val="0F6323EA"/>
    <w:rsid w:val="0F665DD1"/>
    <w:rsid w:val="0F881819"/>
    <w:rsid w:val="0FBB0D22"/>
    <w:rsid w:val="0FD3668F"/>
    <w:rsid w:val="0FE34B24"/>
    <w:rsid w:val="0FE443F8"/>
    <w:rsid w:val="0FF01DCA"/>
    <w:rsid w:val="10025F94"/>
    <w:rsid w:val="101557F0"/>
    <w:rsid w:val="1042532A"/>
    <w:rsid w:val="106C16A2"/>
    <w:rsid w:val="1093338A"/>
    <w:rsid w:val="10B22D39"/>
    <w:rsid w:val="10FD7E68"/>
    <w:rsid w:val="1107547A"/>
    <w:rsid w:val="11185848"/>
    <w:rsid w:val="1128487D"/>
    <w:rsid w:val="113A28EF"/>
    <w:rsid w:val="114E3CD4"/>
    <w:rsid w:val="11592226"/>
    <w:rsid w:val="1162169B"/>
    <w:rsid w:val="11651569"/>
    <w:rsid w:val="11683F1B"/>
    <w:rsid w:val="11805498"/>
    <w:rsid w:val="118E551D"/>
    <w:rsid w:val="11CB1F8D"/>
    <w:rsid w:val="11D706B9"/>
    <w:rsid w:val="11EB49C6"/>
    <w:rsid w:val="11FB0C3E"/>
    <w:rsid w:val="12136B3F"/>
    <w:rsid w:val="12235CD5"/>
    <w:rsid w:val="12476426"/>
    <w:rsid w:val="124F7CFA"/>
    <w:rsid w:val="128D4355"/>
    <w:rsid w:val="129C6C18"/>
    <w:rsid w:val="12A5164B"/>
    <w:rsid w:val="12DF2A5A"/>
    <w:rsid w:val="132C6A5A"/>
    <w:rsid w:val="133A5A81"/>
    <w:rsid w:val="134A6C68"/>
    <w:rsid w:val="139006BC"/>
    <w:rsid w:val="13A754E5"/>
    <w:rsid w:val="14656C9B"/>
    <w:rsid w:val="14802C1D"/>
    <w:rsid w:val="14B04F22"/>
    <w:rsid w:val="14BE1CA3"/>
    <w:rsid w:val="14C447F8"/>
    <w:rsid w:val="151632A6"/>
    <w:rsid w:val="15587FB4"/>
    <w:rsid w:val="159F0E90"/>
    <w:rsid w:val="15EE4223"/>
    <w:rsid w:val="168C2E40"/>
    <w:rsid w:val="16A9748A"/>
    <w:rsid w:val="17193A3C"/>
    <w:rsid w:val="17546308"/>
    <w:rsid w:val="175D2C7E"/>
    <w:rsid w:val="17C74238"/>
    <w:rsid w:val="183945CA"/>
    <w:rsid w:val="185C36C6"/>
    <w:rsid w:val="18692E3C"/>
    <w:rsid w:val="18B07A55"/>
    <w:rsid w:val="18CE1DEC"/>
    <w:rsid w:val="18ED2570"/>
    <w:rsid w:val="193C6F2A"/>
    <w:rsid w:val="19505FC6"/>
    <w:rsid w:val="19656A32"/>
    <w:rsid w:val="198056E6"/>
    <w:rsid w:val="19BE3676"/>
    <w:rsid w:val="19C172A8"/>
    <w:rsid w:val="19C659EC"/>
    <w:rsid w:val="19D00DAC"/>
    <w:rsid w:val="1A3B555D"/>
    <w:rsid w:val="1A5A06D6"/>
    <w:rsid w:val="1AAA4F67"/>
    <w:rsid w:val="1AAE1E8A"/>
    <w:rsid w:val="1AD00105"/>
    <w:rsid w:val="1AD54864"/>
    <w:rsid w:val="1AEC1FB0"/>
    <w:rsid w:val="1AFA5F43"/>
    <w:rsid w:val="1B2E0C1E"/>
    <w:rsid w:val="1B700240"/>
    <w:rsid w:val="1BCA31B2"/>
    <w:rsid w:val="1C0F4EF3"/>
    <w:rsid w:val="1C2437EB"/>
    <w:rsid w:val="1C27133D"/>
    <w:rsid w:val="1C2A13F3"/>
    <w:rsid w:val="1C376D48"/>
    <w:rsid w:val="1C512181"/>
    <w:rsid w:val="1C662D65"/>
    <w:rsid w:val="1C833A38"/>
    <w:rsid w:val="1CA4388D"/>
    <w:rsid w:val="1CA47A0D"/>
    <w:rsid w:val="1CAE64BA"/>
    <w:rsid w:val="1CBC3550"/>
    <w:rsid w:val="1CFF196A"/>
    <w:rsid w:val="1D0205B4"/>
    <w:rsid w:val="1D28626C"/>
    <w:rsid w:val="1D2A34AD"/>
    <w:rsid w:val="1D614730"/>
    <w:rsid w:val="1D6D6E17"/>
    <w:rsid w:val="1DC11182"/>
    <w:rsid w:val="1E220F0E"/>
    <w:rsid w:val="1E340C41"/>
    <w:rsid w:val="1EBB4734"/>
    <w:rsid w:val="1EC10726"/>
    <w:rsid w:val="1EE01DE8"/>
    <w:rsid w:val="1EE86EE3"/>
    <w:rsid w:val="1EFB169C"/>
    <w:rsid w:val="1F0B056A"/>
    <w:rsid w:val="1F106FB8"/>
    <w:rsid w:val="1F135FB1"/>
    <w:rsid w:val="1F171F2D"/>
    <w:rsid w:val="1F211466"/>
    <w:rsid w:val="1F3F1B58"/>
    <w:rsid w:val="1F610B8A"/>
    <w:rsid w:val="1F8A47FF"/>
    <w:rsid w:val="1F9E0BB4"/>
    <w:rsid w:val="1FA151A7"/>
    <w:rsid w:val="20190339"/>
    <w:rsid w:val="2038335D"/>
    <w:rsid w:val="2042684B"/>
    <w:rsid w:val="204F5D9B"/>
    <w:rsid w:val="20713A86"/>
    <w:rsid w:val="207F5EF0"/>
    <w:rsid w:val="20E35EDF"/>
    <w:rsid w:val="210332F7"/>
    <w:rsid w:val="21134F7F"/>
    <w:rsid w:val="21212A22"/>
    <w:rsid w:val="213C4D8C"/>
    <w:rsid w:val="214649B7"/>
    <w:rsid w:val="215D225D"/>
    <w:rsid w:val="217C26E3"/>
    <w:rsid w:val="21871088"/>
    <w:rsid w:val="21B46442"/>
    <w:rsid w:val="21ED1832"/>
    <w:rsid w:val="21F64047"/>
    <w:rsid w:val="21FE1453"/>
    <w:rsid w:val="220B3A67"/>
    <w:rsid w:val="224C6F54"/>
    <w:rsid w:val="225E44DE"/>
    <w:rsid w:val="227A05E7"/>
    <w:rsid w:val="232F19D7"/>
    <w:rsid w:val="233D5EA2"/>
    <w:rsid w:val="23AB5501"/>
    <w:rsid w:val="23B172F2"/>
    <w:rsid w:val="23B466C5"/>
    <w:rsid w:val="23BF4A68"/>
    <w:rsid w:val="23CC2948"/>
    <w:rsid w:val="23FD052A"/>
    <w:rsid w:val="2418462B"/>
    <w:rsid w:val="241E2177"/>
    <w:rsid w:val="243523CB"/>
    <w:rsid w:val="24397A54"/>
    <w:rsid w:val="24452065"/>
    <w:rsid w:val="244A1193"/>
    <w:rsid w:val="248F2C00"/>
    <w:rsid w:val="24B14D99"/>
    <w:rsid w:val="24BB1774"/>
    <w:rsid w:val="24E30B4F"/>
    <w:rsid w:val="252E5512"/>
    <w:rsid w:val="25410798"/>
    <w:rsid w:val="259673B0"/>
    <w:rsid w:val="2628108B"/>
    <w:rsid w:val="265500D6"/>
    <w:rsid w:val="26553E1B"/>
    <w:rsid w:val="27174C5C"/>
    <w:rsid w:val="271A6261"/>
    <w:rsid w:val="275058B3"/>
    <w:rsid w:val="27822A1D"/>
    <w:rsid w:val="27C052F3"/>
    <w:rsid w:val="27D72D69"/>
    <w:rsid w:val="27DC6CF5"/>
    <w:rsid w:val="27FF3ADB"/>
    <w:rsid w:val="2886653D"/>
    <w:rsid w:val="288E0F4E"/>
    <w:rsid w:val="28992D17"/>
    <w:rsid w:val="28B246A4"/>
    <w:rsid w:val="28DE0127"/>
    <w:rsid w:val="28E75EE1"/>
    <w:rsid w:val="28F13D40"/>
    <w:rsid w:val="28F4381E"/>
    <w:rsid w:val="290473EC"/>
    <w:rsid w:val="296C74E1"/>
    <w:rsid w:val="297A4743"/>
    <w:rsid w:val="29AF1B08"/>
    <w:rsid w:val="29E05CB3"/>
    <w:rsid w:val="29FF1D23"/>
    <w:rsid w:val="2A0B044C"/>
    <w:rsid w:val="2A495A74"/>
    <w:rsid w:val="2A4C5876"/>
    <w:rsid w:val="2A750617"/>
    <w:rsid w:val="2A9611B4"/>
    <w:rsid w:val="2A96648E"/>
    <w:rsid w:val="2A9C2048"/>
    <w:rsid w:val="2AFC6642"/>
    <w:rsid w:val="2B0A5203"/>
    <w:rsid w:val="2B206984"/>
    <w:rsid w:val="2B6129DA"/>
    <w:rsid w:val="2B763DE1"/>
    <w:rsid w:val="2BAA7930"/>
    <w:rsid w:val="2BB971E1"/>
    <w:rsid w:val="2BF35E77"/>
    <w:rsid w:val="2C204F7B"/>
    <w:rsid w:val="2C2675D1"/>
    <w:rsid w:val="2C5A412F"/>
    <w:rsid w:val="2C655464"/>
    <w:rsid w:val="2C6646BB"/>
    <w:rsid w:val="2C6B4AC3"/>
    <w:rsid w:val="2CC106CB"/>
    <w:rsid w:val="2CE12A73"/>
    <w:rsid w:val="2D12039F"/>
    <w:rsid w:val="2D597216"/>
    <w:rsid w:val="2D684463"/>
    <w:rsid w:val="2D9622B6"/>
    <w:rsid w:val="2D963C58"/>
    <w:rsid w:val="2DB87198"/>
    <w:rsid w:val="2DBD1ABE"/>
    <w:rsid w:val="2DD02422"/>
    <w:rsid w:val="2DD55AD9"/>
    <w:rsid w:val="2DE012DA"/>
    <w:rsid w:val="2DE0757D"/>
    <w:rsid w:val="2DE81FA0"/>
    <w:rsid w:val="2DEA16C1"/>
    <w:rsid w:val="2DF31F7F"/>
    <w:rsid w:val="2DFF7E04"/>
    <w:rsid w:val="2E1F55C0"/>
    <w:rsid w:val="2E3003DD"/>
    <w:rsid w:val="2EB55486"/>
    <w:rsid w:val="2EBC62E3"/>
    <w:rsid w:val="2EEC200B"/>
    <w:rsid w:val="2EEE109D"/>
    <w:rsid w:val="2F6E1DEC"/>
    <w:rsid w:val="2F9E416C"/>
    <w:rsid w:val="2FA31782"/>
    <w:rsid w:val="2FC8359B"/>
    <w:rsid w:val="2FCC0D61"/>
    <w:rsid w:val="2FEC4FAC"/>
    <w:rsid w:val="2FEE1B0D"/>
    <w:rsid w:val="3007608E"/>
    <w:rsid w:val="303F591A"/>
    <w:rsid w:val="304545E8"/>
    <w:rsid w:val="30B005FB"/>
    <w:rsid w:val="30CA5D19"/>
    <w:rsid w:val="30FF60AB"/>
    <w:rsid w:val="3109327F"/>
    <w:rsid w:val="317C04DD"/>
    <w:rsid w:val="3184123C"/>
    <w:rsid w:val="31C13C25"/>
    <w:rsid w:val="31DF79A9"/>
    <w:rsid w:val="32116E77"/>
    <w:rsid w:val="32472899"/>
    <w:rsid w:val="32AC4DF2"/>
    <w:rsid w:val="32AE2918"/>
    <w:rsid w:val="332A1ACD"/>
    <w:rsid w:val="33384B15"/>
    <w:rsid w:val="33606461"/>
    <w:rsid w:val="336B0809"/>
    <w:rsid w:val="33A819EE"/>
    <w:rsid w:val="33F24A86"/>
    <w:rsid w:val="33FE6F38"/>
    <w:rsid w:val="340B1178"/>
    <w:rsid w:val="340D18C0"/>
    <w:rsid w:val="342015F4"/>
    <w:rsid w:val="3434509F"/>
    <w:rsid w:val="346664F7"/>
    <w:rsid w:val="346911EC"/>
    <w:rsid w:val="346A57D2"/>
    <w:rsid w:val="346F0EE3"/>
    <w:rsid w:val="3474193F"/>
    <w:rsid w:val="34763909"/>
    <w:rsid w:val="347A5FA7"/>
    <w:rsid w:val="34A16728"/>
    <w:rsid w:val="34A27866"/>
    <w:rsid w:val="34F32686"/>
    <w:rsid w:val="35317E94"/>
    <w:rsid w:val="353D00B7"/>
    <w:rsid w:val="355D23D3"/>
    <w:rsid w:val="355F439E"/>
    <w:rsid w:val="35957DBF"/>
    <w:rsid w:val="35973B37"/>
    <w:rsid w:val="359B155E"/>
    <w:rsid w:val="35C651C7"/>
    <w:rsid w:val="36315133"/>
    <w:rsid w:val="364517E5"/>
    <w:rsid w:val="36547A91"/>
    <w:rsid w:val="365A0A03"/>
    <w:rsid w:val="366215F3"/>
    <w:rsid w:val="36D1369A"/>
    <w:rsid w:val="36D32C19"/>
    <w:rsid w:val="36D6115D"/>
    <w:rsid w:val="36DB371A"/>
    <w:rsid w:val="370074BA"/>
    <w:rsid w:val="37016B5B"/>
    <w:rsid w:val="371C0798"/>
    <w:rsid w:val="373E1CFE"/>
    <w:rsid w:val="374A66EF"/>
    <w:rsid w:val="375C0D63"/>
    <w:rsid w:val="377B53FE"/>
    <w:rsid w:val="37B07AF8"/>
    <w:rsid w:val="38213B8C"/>
    <w:rsid w:val="386325CE"/>
    <w:rsid w:val="38B14F10"/>
    <w:rsid w:val="38DF5326"/>
    <w:rsid w:val="38EE7F12"/>
    <w:rsid w:val="38F604E8"/>
    <w:rsid w:val="38F94718"/>
    <w:rsid w:val="390E5AA4"/>
    <w:rsid w:val="39491472"/>
    <w:rsid w:val="399C7D9C"/>
    <w:rsid w:val="39A84565"/>
    <w:rsid w:val="39C940DD"/>
    <w:rsid w:val="39CC3F57"/>
    <w:rsid w:val="39D517CB"/>
    <w:rsid w:val="39E31FA9"/>
    <w:rsid w:val="39E3734B"/>
    <w:rsid w:val="3A2A1792"/>
    <w:rsid w:val="3A2E7BD5"/>
    <w:rsid w:val="3A3B544D"/>
    <w:rsid w:val="3A58789B"/>
    <w:rsid w:val="3A5A2AF2"/>
    <w:rsid w:val="3A66321F"/>
    <w:rsid w:val="3A7722F0"/>
    <w:rsid w:val="3A9337A6"/>
    <w:rsid w:val="3AA3302B"/>
    <w:rsid w:val="3B231B13"/>
    <w:rsid w:val="3B246109"/>
    <w:rsid w:val="3B3836C7"/>
    <w:rsid w:val="3B384D23"/>
    <w:rsid w:val="3B473DA3"/>
    <w:rsid w:val="3B5003B8"/>
    <w:rsid w:val="3BA10B57"/>
    <w:rsid w:val="3BDE3F64"/>
    <w:rsid w:val="3BE136D2"/>
    <w:rsid w:val="3BEA31E1"/>
    <w:rsid w:val="3C1804B3"/>
    <w:rsid w:val="3C296441"/>
    <w:rsid w:val="3C66236F"/>
    <w:rsid w:val="3C903088"/>
    <w:rsid w:val="3C997D43"/>
    <w:rsid w:val="3CF719D1"/>
    <w:rsid w:val="3D4D782E"/>
    <w:rsid w:val="3D5216C0"/>
    <w:rsid w:val="3D5F6052"/>
    <w:rsid w:val="3D6F7148"/>
    <w:rsid w:val="3DA61E89"/>
    <w:rsid w:val="3DAB1C00"/>
    <w:rsid w:val="3DD05E38"/>
    <w:rsid w:val="3DD119FA"/>
    <w:rsid w:val="3DF51492"/>
    <w:rsid w:val="3E066ACA"/>
    <w:rsid w:val="3E1D2E9B"/>
    <w:rsid w:val="3E281509"/>
    <w:rsid w:val="3E5D1C81"/>
    <w:rsid w:val="3EC15C6F"/>
    <w:rsid w:val="3EFA5515"/>
    <w:rsid w:val="3F047D0D"/>
    <w:rsid w:val="3F283A52"/>
    <w:rsid w:val="3F537F7C"/>
    <w:rsid w:val="3F870779"/>
    <w:rsid w:val="3F8D74B1"/>
    <w:rsid w:val="3F97595D"/>
    <w:rsid w:val="3F9E49CB"/>
    <w:rsid w:val="3FA73DAF"/>
    <w:rsid w:val="3FD014DC"/>
    <w:rsid w:val="40316258"/>
    <w:rsid w:val="40343C85"/>
    <w:rsid w:val="40582115"/>
    <w:rsid w:val="40707630"/>
    <w:rsid w:val="407C5E04"/>
    <w:rsid w:val="40B97058"/>
    <w:rsid w:val="40C94DC1"/>
    <w:rsid w:val="413E3A8A"/>
    <w:rsid w:val="415B010F"/>
    <w:rsid w:val="4187702A"/>
    <w:rsid w:val="41AA4BF2"/>
    <w:rsid w:val="41BF6E2B"/>
    <w:rsid w:val="41C37A62"/>
    <w:rsid w:val="421B789E"/>
    <w:rsid w:val="42480D00"/>
    <w:rsid w:val="42497F67"/>
    <w:rsid w:val="42507825"/>
    <w:rsid w:val="42536505"/>
    <w:rsid w:val="426D00FA"/>
    <w:rsid w:val="4299478E"/>
    <w:rsid w:val="42AB6E74"/>
    <w:rsid w:val="430D5439"/>
    <w:rsid w:val="4311685E"/>
    <w:rsid w:val="438E4E05"/>
    <w:rsid w:val="43A0005B"/>
    <w:rsid w:val="43B32256"/>
    <w:rsid w:val="43B43B06"/>
    <w:rsid w:val="44284848"/>
    <w:rsid w:val="44310473"/>
    <w:rsid w:val="4482138B"/>
    <w:rsid w:val="44923C8C"/>
    <w:rsid w:val="44C433C6"/>
    <w:rsid w:val="454048AB"/>
    <w:rsid w:val="45555209"/>
    <w:rsid w:val="455A22AB"/>
    <w:rsid w:val="456442B5"/>
    <w:rsid w:val="457A48DC"/>
    <w:rsid w:val="459B6D2C"/>
    <w:rsid w:val="461E1969"/>
    <w:rsid w:val="464A0DDF"/>
    <w:rsid w:val="465E4DA3"/>
    <w:rsid w:val="468B4FF2"/>
    <w:rsid w:val="46AB02DD"/>
    <w:rsid w:val="46AC5357"/>
    <w:rsid w:val="46BD2A8C"/>
    <w:rsid w:val="46DF0CB9"/>
    <w:rsid w:val="470D1475"/>
    <w:rsid w:val="473142C2"/>
    <w:rsid w:val="477C493B"/>
    <w:rsid w:val="477D002C"/>
    <w:rsid w:val="478F7A25"/>
    <w:rsid w:val="47D7511C"/>
    <w:rsid w:val="47DA6FED"/>
    <w:rsid w:val="47E24B7B"/>
    <w:rsid w:val="47E50732"/>
    <w:rsid w:val="484D2D27"/>
    <w:rsid w:val="48515DC8"/>
    <w:rsid w:val="4864156E"/>
    <w:rsid w:val="48700764"/>
    <w:rsid w:val="487446A9"/>
    <w:rsid w:val="48877A3B"/>
    <w:rsid w:val="48997F02"/>
    <w:rsid w:val="48C514F3"/>
    <w:rsid w:val="49025314"/>
    <w:rsid w:val="490270C2"/>
    <w:rsid w:val="49227764"/>
    <w:rsid w:val="49301412"/>
    <w:rsid w:val="493954E2"/>
    <w:rsid w:val="4943127F"/>
    <w:rsid w:val="495025EB"/>
    <w:rsid w:val="49830BC2"/>
    <w:rsid w:val="49B3664D"/>
    <w:rsid w:val="49E8275C"/>
    <w:rsid w:val="4A5B112D"/>
    <w:rsid w:val="4AA20DCD"/>
    <w:rsid w:val="4AB158A6"/>
    <w:rsid w:val="4AB75150"/>
    <w:rsid w:val="4AB8510C"/>
    <w:rsid w:val="4AC42AFF"/>
    <w:rsid w:val="4AC95EC1"/>
    <w:rsid w:val="4AE47FB2"/>
    <w:rsid w:val="4AFF1B0B"/>
    <w:rsid w:val="4B632B6F"/>
    <w:rsid w:val="4B783F5F"/>
    <w:rsid w:val="4BAA5BDD"/>
    <w:rsid w:val="4BB10FD8"/>
    <w:rsid w:val="4BBA1ED6"/>
    <w:rsid w:val="4BBC3274"/>
    <w:rsid w:val="4BBD078F"/>
    <w:rsid w:val="4BCE772F"/>
    <w:rsid w:val="4BDE22A6"/>
    <w:rsid w:val="4BE25A85"/>
    <w:rsid w:val="4BE97BC3"/>
    <w:rsid w:val="4BEF5479"/>
    <w:rsid w:val="4C07090C"/>
    <w:rsid w:val="4C184539"/>
    <w:rsid w:val="4CBC76B6"/>
    <w:rsid w:val="4CFD3592"/>
    <w:rsid w:val="4D094EC3"/>
    <w:rsid w:val="4D127F16"/>
    <w:rsid w:val="4D1D57DA"/>
    <w:rsid w:val="4D1D5FF7"/>
    <w:rsid w:val="4D210A8C"/>
    <w:rsid w:val="4D9258D3"/>
    <w:rsid w:val="4D9A1BED"/>
    <w:rsid w:val="4DC332C4"/>
    <w:rsid w:val="4DEB6377"/>
    <w:rsid w:val="4DFA0CB0"/>
    <w:rsid w:val="4DFB45FE"/>
    <w:rsid w:val="4E265CF2"/>
    <w:rsid w:val="4E3A10AC"/>
    <w:rsid w:val="4E3C6A4E"/>
    <w:rsid w:val="4E4F6673"/>
    <w:rsid w:val="4E617142"/>
    <w:rsid w:val="4E962786"/>
    <w:rsid w:val="4EB9694E"/>
    <w:rsid w:val="4EC310A1"/>
    <w:rsid w:val="4EDB46BD"/>
    <w:rsid w:val="4EDE5709"/>
    <w:rsid w:val="4EE148F4"/>
    <w:rsid w:val="4EFE46BC"/>
    <w:rsid w:val="4F2953A8"/>
    <w:rsid w:val="4F4B5F19"/>
    <w:rsid w:val="4F540A17"/>
    <w:rsid w:val="4F8A0F43"/>
    <w:rsid w:val="4F9128E7"/>
    <w:rsid w:val="4FAA55B4"/>
    <w:rsid w:val="4FD11CE0"/>
    <w:rsid w:val="4FD25A40"/>
    <w:rsid w:val="4FED442E"/>
    <w:rsid w:val="5060147A"/>
    <w:rsid w:val="508456FD"/>
    <w:rsid w:val="51444013"/>
    <w:rsid w:val="51561357"/>
    <w:rsid w:val="516157B5"/>
    <w:rsid w:val="518E1E3B"/>
    <w:rsid w:val="51A65CD9"/>
    <w:rsid w:val="51C846B8"/>
    <w:rsid w:val="51CC6D8B"/>
    <w:rsid w:val="51EE4687"/>
    <w:rsid w:val="51F02568"/>
    <w:rsid w:val="51FC4D4A"/>
    <w:rsid w:val="520F75A8"/>
    <w:rsid w:val="521B74FF"/>
    <w:rsid w:val="524173DF"/>
    <w:rsid w:val="52713A94"/>
    <w:rsid w:val="52B4767F"/>
    <w:rsid w:val="52D14794"/>
    <w:rsid w:val="52F62B54"/>
    <w:rsid w:val="532E13F5"/>
    <w:rsid w:val="53326C14"/>
    <w:rsid w:val="53436CB1"/>
    <w:rsid w:val="53437F61"/>
    <w:rsid w:val="539513C1"/>
    <w:rsid w:val="539D76E1"/>
    <w:rsid w:val="53AC47FA"/>
    <w:rsid w:val="53D64E84"/>
    <w:rsid w:val="53E37B97"/>
    <w:rsid w:val="541553DF"/>
    <w:rsid w:val="543A3BB4"/>
    <w:rsid w:val="543F151A"/>
    <w:rsid w:val="5449029B"/>
    <w:rsid w:val="545729B8"/>
    <w:rsid w:val="546504F7"/>
    <w:rsid w:val="54714206"/>
    <w:rsid w:val="5490582F"/>
    <w:rsid w:val="54B5148C"/>
    <w:rsid w:val="54B90DDB"/>
    <w:rsid w:val="54C066CF"/>
    <w:rsid w:val="54D30705"/>
    <w:rsid w:val="54E6126B"/>
    <w:rsid w:val="54EA311E"/>
    <w:rsid w:val="555A44C1"/>
    <w:rsid w:val="5569544C"/>
    <w:rsid w:val="55763F84"/>
    <w:rsid w:val="558B2585"/>
    <w:rsid w:val="55E21577"/>
    <w:rsid w:val="55E47F6D"/>
    <w:rsid w:val="560A6185"/>
    <w:rsid w:val="56257BD3"/>
    <w:rsid w:val="568F2266"/>
    <w:rsid w:val="569E2BA7"/>
    <w:rsid w:val="56A27288"/>
    <w:rsid w:val="56AD4451"/>
    <w:rsid w:val="56C241D6"/>
    <w:rsid w:val="56C65BD3"/>
    <w:rsid w:val="56CB4F97"/>
    <w:rsid w:val="56E02197"/>
    <w:rsid w:val="56E878F7"/>
    <w:rsid w:val="570108EB"/>
    <w:rsid w:val="570C4F8A"/>
    <w:rsid w:val="572D20CC"/>
    <w:rsid w:val="57662666"/>
    <w:rsid w:val="57BD2ABC"/>
    <w:rsid w:val="57EB3A19"/>
    <w:rsid w:val="58093FC9"/>
    <w:rsid w:val="580E1EEE"/>
    <w:rsid w:val="58346B6C"/>
    <w:rsid w:val="585A59C4"/>
    <w:rsid w:val="586F67F3"/>
    <w:rsid w:val="58931AE5"/>
    <w:rsid w:val="58AD3D6E"/>
    <w:rsid w:val="58B25C30"/>
    <w:rsid w:val="58ED6699"/>
    <w:rsid w:val="58F76517"/>
    <w:rsid w:val="593F24A5"/>
    <w:rsid w:val="595C576A"/>
    <w:rsid w:val="595C5842"/>
    <w:rsid w:val="59751B47"/>
    <w:rsid w:val="59910D81"/>
    <w:rsid w:val="59AF55D4"/>
    <w:rsid w:val="59B5567B"/>
    <w:rsid w:val="59DE00CD"/>
    <w:rsid w:val="5A685562"/>
    <w:rsid w:val="5A747699"/>
    <w:rsid w:val="5AAE1DAC"/>
    <w:rsid w:val="5ACF7EDE"/>
    <w:rsid w:val="5ADC1FCA"/>
    <w:rsid w:val="5B2D555B"/>
    <w:rsid w:val="5B415D90"/>
    <w:rsid w:val="5BD75E29"/>
    <w:rsid w:val="5BDC5751"/>
    <w:rsid w:val="5C4821F4"/>
    <w:rsid w:val="5C4F0418"/>
    <w:rsid w:val="5C58551F"/>
    <w:rsid w:val="5C61314A"/>
    <w:rsid w:val="5C78796F"/>
    <w:rsid w:val="5CEC2D02"/>
    <w:rsid w:val="5D357F0B"/>
    <w:rsid w:val="5D55732C"/>
    <w:rsid w:val="5D9D39E9"/>
    <w:rsid w:val="5DD67CB5"/>
    <w:rsid w:val="5DDD5A84"/>
    <w:rsid w:val="5DE0264B"/>
    <w:rsid w:val="5E1B2DF8"/>
    <w:rsid w:val="5E70397C"/>
    <w:rsid w:val="5E7D3842"/>
    <w:rsid w:val="5E8720EC"/>
    <w:rsid w:val="5E943317"/>
    <w:rsid w:val="5E9875E1"/>
    <w:rsid w:val="5EAF483F"/>
    <w:rsid w:val="5ECB4CC4"/>
    <w:rsid w:val="5EDD7F5D"/>
    <w:rsid w:val="5F0E4646"/>
    <w:rsid w:val="5F0F1B3E"/>
    <w:rsid w:val="5F44415B"/>
    <w:rsid w:val="5F5554F7"/>
    <w:rsid w:val="5F5875E4"/>
    <w:rsid w:val="5F9A60D4"/>
    <w:rsid w:val="5FA5598A"/>
    <w:rsid w:val="5FAB5605"/>
    <w:rsid w:val="5FB9629A"/>
    <w:rsid w:val="5FD274FA"/>
    <w:rsid w:val="5FE049D5"/>
    <w:rsid w:val="600951AF"/>
    <w:rsid w:val="600B149F"/>
    <w:rsid w:val="602A5424"/>
    <w:rsid w:val="60310561"/>
    <w:rsid w:val="60524605"/>
    <w:rsid w:val="6060524A"/>
    <w:rsid w:val="606C77EB"/>
    <w:rsid w:val="60AE0DD1"/>
    <w:rsid w:val="60B66CB8"/>
    <w:rsid w:val="60DE31DC"/>
    <w:rsid w:val="60E26096"/>
    <w:rsid w:val="61031E60"/>
    <w:rsid w:val="6117739C"/>
    <w:rsid w:val="613861D2"/>
    <w:rsid w:val="613A1697"/>
    <w:rsid w:val="61710DEE"/>
    <w:rsid w:val="617F354E"/>
    <w:rsid w:val="61870E92"/>
    <w:rsid w:val="6189617B"/>
    <w:rsid w:val="61BA27D8"/>
    <w:rsid w:val="61C34F67"/>
    <w:rsid w:val="61D225E7"/>
    <w:rsid w:val="61F41CED"/>
    <w:rsid w:val="61F47A98"/>
    <w:rsid w:val="61F749C9"/>
    <w:rsid w:val="62086F99"/>
    <w:rsid w:val="620A25D5"/>
    <w:rsid w:val="622D4D58"/>
    <w:rsid w:val="62464C86"/>
    <w:rsid w:val="625A2DFD"/>
    <w:rsid w:val="625C563D"/>
    <w:rsid w:val="628D44BB"/>
    <w:rsid w:val="629A5CD0"/>
    <w:rsid w:val="62E04946"/>
    <w:rsid w:val="62ED0F27"/>
    <w:rsid w:val="62F44622"/>
    <w:rsid w:val="63224191"/>
    <w:rsid w:val="63737AA4"/>
    <w:rsid w:val="638E5CCA"/>
    <w:rsid w:val="63CB614E"/>
    <w:rsid w:val="63CC234F"/>
    <w:rsid w:val="63E5596E"/>
    <w:rsid w:val="63FF7A99"/>
    <w:rsid w:val="644E18FA"/>
    <w:rsid w:val="6474329C"/>
    <w:rsid w:val="64A07A63"/>
    <w:rsid w:val="64E577E9"/>
    <w:rsid w:val="64F0230E"/>
    <w:rsid w:val="64F506DA"/>
    <w:rsid w:val="650E2A55"/>
    <w:rsid w:val="65240694"/>
    <w:rsid w:val="65821C5A"/>
    <w:rsid w:val="65AB728F"/>
    <w:rsid w:val="65D976D1"/>
    <w:rsid w:val="65E93BD9"/>
    <w:rsid w:val="6656415A"/>
    <w:rsid w:val="66651504"/>
    <w:rsid w:val="666F025E"/>
    <w:rsid w:val="667E4482"/>
    <w:rsid w:val="66B4528C"/>
    <w:rsid w:val="66D47E98"/>
    <w:rsid w:val="671A6C35"/>
    <w:rsid w:val="67323B99"/>
    <w:rsid w:val="67437282"/>
    <w:rsid w:val="678406E6"/>
    <w:rsid w:val="67A03E32"/>
    <w:rsid w:val="67AE2497"/>
    <w:rsid w:val="67D15E57"/>
    <w:rsid w:val="67EE3E86"/>
    <w:rsid w:val="681743E1"/>
    <w:rsid w:val="68255615"/>
    <w:rsid w:val="682C160E"/>
    <w:rsid w:val="685A47E4"/>
    <w:rsid w:val="68752292"/>
    <w:rsid w:val="68A5389A"/>
    <w:rsid w:val="68BC4A27"/>
    <w:rsid w:val="68C4323E"/>
    <w:rsid w:val="68F75FCA"/>
    <w:rsid w:val="68F91152"/>
    <w:rsid w:val="690A7BA1"/>
    <w:rsid w:val="691D5B26"/>
    <w:rsid w:val="693469CC"/>
    <w:rsid w:val="698910DE"/>
    <w:rsid w:val="699A7177"/>
    <w:rsid w:val="69DA57C5"/>
    <w:rsid w:val="69EC54F9"/>
    <w:rsid w:val="69F234FE"/>
    <w:rsid w:val="6A2A0727"/>
    <w:rsid w:val="6A396731"/>
    <w:rsid w:val="6A953FED"/>
    <w:rsid w:val="6AA00549"/>
    <w:rsid w:val="6AAA142F"/>
    <w:rsid w:val="6AD16513"/>
    <w:rsid w:val="6B1B0810"/>
    <w:rsid w:val="6B380425"/>
    <w:rsid w:val="6B574BF4"/>
    <w:rsid w:val="6B8E437F"/>
    <w:rsid w:val="6BF3565B"/>
    <w:rsid w:val="6C08056F"/>
    <w:rsid w:val="6C2E004A"/>
    <w:rsid w:val="6C3F6B0F"/>
    <w:rsid w:val="6C517895"/>
    <w:rsid w:val="6C56076F"/>
    <w:rsid w:val="6C76262C"/>
    <w:rsid w:val="6C8753A4"/>
    <w:rsid w:val="6CD36E77"/>
    <w:rsid w:val="6CE20F96"/>
    <w:rsid w:val="6D22376C"/>
    <w:rsid w:val="6D273C89"/>
    <w:rsid w:val="6D27515F"/>
    <w:rsid w:val="6D2E0DC6"/>
    <w:rsid w:val="6D472B88"/>
    <w:rsid w:val="6D8D0DA1"/>
    <w:rsid w:val="6DB15184"/>
    <w:rsid w:val="6DC301EB"/>
    <w:rsid w:val="6DE10F7A"/>
    <w:rsid w:val="6E02353D"/>
    <w:rsid w:val="6E055C03"/>
    <w:rsid w:val="6E25798F"/>
    <w:rsid w:val="6E2D1B28"/>
    <w:rsid w:val="6E43783C"/>
    <w:rsid w:val="6E5B61BE"/>
    <w:rsid w:val="6E6B54D0"/>
    <w:rsid w:val="6E923579"/>
    <w:rsid w:val="6ED50C51"/>
    <w:rsid w:val="6EE81335"/>
    <w:rsid w:val="6EF54E4F"/>
    <w:rsid w:val="6F00394E"/>
    <w:rsid w:val="6F014AE5"/>
    <w:rsid w:val="6F1D1667"/>
    <w:rsid w:val="6F795A80"/>
    <w:rsid w:val="6F8E6C94"/>
    <w:rsid w:val="6F9929FB"/>
    <w:rsid w:val="6FA23C43"/>
    <w:rsid w:val="6FBE159C"/>
    <w:rsid w:val="6FD607DD"/>
    <w:rsid w:val="6FDD5496"/>
    <w:rsid w:val="70074C45"/>
    <w:rsid w:val="701666D1"/>
    <w:rsid w:val="70297555"/>
    <w:rsid w:val="7036127C"/>
    <w:rsid w:val="705F6A24"/>
    <w:rsid w:val="7161216A"/>
    <w:rsid w:val="71816E6E"/>
    <w:rsid w:val="718865BA"/>
    <w:rsid w:val="721675B7"/>
    <w:rsid w:val="722C2129"/>
    <w:rsid w:val="723675B5"/>
    <w:rsid w:val="723D0FE7"/>
    <w:rsid w:val="726159C7"/>
    <w:rsid w:val="727631AC"/>
    <w:rsid w:val="727849AC"/>
    <w:rsid w:val="72AB4ECF"/>
    <w:rsid w:val="72BD57FC"/>
    <w:rsid w:val="73047CAA"/>
    <w:rsid w:val="732909D3"/>
    <w:rsid w:val="733C6AD6"/>
    <w:rsid w:val="734D617B"/>
    <w:rsid w:val="73532145"/>
    <w:rsid w:val="73865C6D"/>
    <w:rsid w:val="73AD5CF9"/>
    <w:rsid w:val="73C848E1"/>
    <w:rsid w:val="73E007D8"/>
    <w:rsid w:val="73EB05CF"/>
    <w:rsid w:val="74413A93"/>
    <w:rsid w:val="745C4105"/>
    <w:rsid w:val="748051BB"/>
    <w:rsid w:val="748E78D8"/>
    <w:rsid w:val="74FE34B8"/>
    <w:rsid w:val="75024A79"/>
    <w:rsid w:val="753C2EB5"/>
    <w:rsid w:val="756338A7"/>
    <w:rsid w:val="75944076"/>
    <w:rsid w:val="75D92AF5"/>
    <w:rsid w:val="75E00874"/>
    <w:rsid w:val="75EB48B6"/>
    <w:rsid w:val="76006C44"/>
    <w:rsid w:val="76024EB7"/>
    <w:rsid w:val="7606642B"/>
    <w:rsid w:val="76424257"/>
    <w:rsid w:val="765E373E"/>
    <w:rsid w:val="766A677C"/>
    <w:rsid w:val="76A258BD"/>
    <w:rsid w:val="76AB5F7E"/>
    <w:rsid w:val="76AD4E8C"/>
    <w:rsid w:val="76C849B9"/>
    <w:rsid w:val="76D11704"/>
    <w:rsid w:val="76EE465E"/>
    <w:rsid w:val="77954AC0"/>
    <w:rsid w:val="77977FC3"/>
    <w:rsid w:val="779C055E"/>
    <w:rsid w:val="77AA4CAB"/>
    <w:rsid w:val="77B5517C"/>
    <w:rsid w:val="77CC2E4E"/>
    <w:rsid w:val="780103C1"/>
    <w:rsid w:val="781D3A2F"/>
    <w:rsid w:val="786728F7"/>
    <w:rsid w:val="78AD2C12"/>
    <w:rsid w:val="78C97416"/>
    <w:rsid w:val="790A14F7"/>
    <w:rsid w:val="79382508"/>
    <w:rsid w:val="793C41B6"/>
    <w:rsid w:val="793F3242"/>
    <w:rsid w:val="7971208D"/>
    <w:rsid w:val="797846B3"/>
    <w:rsid w:val="7981365D"/>
    <w:rsid w:val="79F5578E"/>
    <w:rsid w:val="7A063362"/>
    <w:rsid w:val="7A270797"/>
    <w:rsid w:val="7A276E16"/>
    <w:rsid w:val="7A300B10"/>
    <w:rsid w:val="7A9640FC"/>
    <w:rsid w:val="7A9C1AFF"/>
    <w:rsid w:val="7AB91DEA"/>
    <w:rsid w:val="7ACB4D1B"/>
    <w:rsid w:val="7B355345"/>
    <w:rsid w:val="7B7B61C8"/>
    <w:rsid w:val="7BB95D20"/>
    <w:rsid w:val="7BC97230"/>
    <w:rsid w:val="7BDA7BBE"/>
    <w:rsid w:val="7BF54C90"/>
    <w:rsid w:val="7C27086C"/>
    <w:rsid w:val="7C28645C"/>
    <w:rsid w:val="7C404B81"/>
    <w:rsid w:val="7C496587"/>
    <w:rsid w:val="7C4E5B9F"/>
    <w:rsid w:val="7CBE0F77"/>
    <w:rsid w:val="7CF2415B"/>
    <w:rsid w:val="7D2C68F3"/>
    <w:rsid w:val="7D3D5C7F"/>
    <w:rsid w:val="7D717D97"/>
    <w:rsid w:val="7D8F6B9A"/>
    <w:rsid w:val="7DA77C5D"/>
    <w:rsid w:val="7DAD5556"/>
    <w:rsid w:val="7DFD162B"/>
    <w:rsid w:val="7E0C345B"/>
    <w:rsid w:val="7E0E706F"/>
    <w:rsid w:val="7E244E09"/>
    <w:rsid w:val="7E3F2904"/>
    <w:rsid w:val="7E676FEC"/>
    <w:rsid w:val="7E9A79FE"/>
    <w:rsid w:val="7E9B0EF6"/>
    <w:rsid w:val="7E9D74C6"/>
    <w:rsid w:val="7EA1193A"/>
    <w:rsid w:val="7EDA196C"/>
    <w:rsid w:val="7EE12CFA"/>
    <w:rsid w:val="7F2A28F3"/>
    <w:rsid w:val="7F477001"/>
    <w:rsid w:val="7F6A2CF0"/>
    <w:rsid w:val="7F795BB0"/>
    <w:rsid w:val="7FBA7737"/>
    <w:rsid w:val="7FBB60DA"/>
    <w:rsid w:val="D7B9C4D8"/>
    <w:rsid w:val="FF5799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9"/>
    <w:pPr>
      <w:spacing w:before="100" w:beforeAutospacing="1" w:after="100" w:afterAutospacing="1"/>
      <w:jc w:val="left"/>
      <w:outlineLvl w:val="1"/>
    </w:pPr>
    <w:rPr>
      <w:rFonts w:hint="eastAsia" w:ascii="宋体" w:hAnsi="宋体"/>
      <w:b/>
      <w:bCs/>
      <w:kern w:val="0"/>
      <w:sz w:val="36"/>
      <w:szCs w:val="36"/>
    </w:rPr>
  </w:style>
  <w:style w:type="paragraph" w:styleId="4">
    <w:name w:val="heading 3"/>
    <w:basedOn w:val="1"/>
    <w:next w:val="1"/>
    <w:link w:val="17"/>
    <w:qFormat/>
    <w:uiPriority w:val="9"/>
    <w:pPr>
      <w:keepNext/>
      <w:keepLines/>
      <w:contextualSpacing/>
      <w:outlineLvl w:val="2"/>
    </w:pPr>
    <w:rPr>
      <w:rFonts w:eastAsia="黑体"/>
      <w:b/>
      <w:bCs/>
      <w:sz w:val="28"/>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szCs w:val="18"/>
    </w:rPr>
  </w:style>
  <w:style w:type="paragraph" w:styleId="5">
    <w:name w:val="Document Map"/>
    <w:basedOn w:val="1"/>
    <w:link w:val="18"/>
    <w:unhideWhenUsed/>
    <w:qFormat/>
    <w:uiPriority w:val="99"/>
    <w:rPr>
      <w:rFonts w:ascii="宋体" w:hAnsi="Times New Roman"/>
      <w:kern w:val="0"/>
      <w:sz w:val="18"/>
      <w:szCs w:val="18"/>
    </w:rPr>
  </w:style>
  <w:style w:type="paragraph" w:styleId="6">
    <w:name w:val="annotation text"/>
    <w:basedOn w:val="1"/>
    <w:link w:val="19"/>
    <w:unhideWhenUsed/>
    <w:qFormat/>
    <w:uiPriority w:val="99"/>
    <w:pPr>
      <w:jc w:val="left"/>
    </w:pPr>
  </w:style>
  <w:style w:type="paragraph" w:styleId="7">
    <w:name w:val="Balloon Text"/>
    <w:basedOn w:val="1"/>
    <w:link w:val="20"/>
    <w:unhideWhenUsed/>
    <w:qFormat/>
    <w:uiPriority w:val="99"/>
    <w:rPr>
      <w:rFonts w:ascii="Times New Roman" w:hAnsi="Times New Roman"/>
      <w:kern w:val="0"/>
      <w:sz w:val="18"/>
      <w:szCs w:val="18"/>
    </w:rPr>
  </w:style>
  <w:style w:type="paragraph" w:styleId="8">
    <w:name w:val="footer"/>
    <w:basedOn w:val="1"/>
    <w:link w:val="21"/>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annotation subject"/>
    <w:basedOn w:val="6"/>
    <w:next w:val="6"/>
    <w:link w:val="23"/>
    <w:unhideWhenUsed/>
    <w:qFormat/>
    <w:uiPriority w:val="99"/>
    <w:rPr>
      <w:rFonts w:ascii="Times New Roman" w:hAnsi="Times New Roman"/>
      <w:b/>
      <w:bCs/>
      <w:kern w:val="0"/>
      <w:sz w:val="20"/>
      <w:szCs w:val="20"/>
    </w:rPr>
  </w:style>
  <w:style w:type="table" w:styleId="13">
    <w:name w:val="Table Grid"/>
    <w:basedOn w:val="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Hyperlink"/>
    <w:unhideWhenUsed/>
    <w:qFormat/>
    <w:uiPriority w:val="99"/>
    <w:rPr>
      <w:color w:val="0000FF"/>
      <w:u w:val="single"/>
    </w:rPr>
  </w:style>
  <w:style w:type="character" w:styleId="16">
    <w:name w:val="annotation reference"/>
    <w:unhideWhenUsed/>
    <w:qFormat/>
    <w:uiPriority w:val="99"/>
    <w:rPr>
      <w:sz w:val="21"/>
      <w:szCs w:val="21"/>
    </w:rPr>
  </w:style>
  <w:style w:type="character" w:customStyle="1" w:styleId="17">
    <w:name w:val="标题 3 Char"/>
    <w:link w:val="4"/>
    <w:qFormat/>
    <w:uiPriority w:val="9"/>
    <w:rPr>
      <w:rFonts w:ascii="Calibri" w:hAnsi="Calibri" w:eastAsia="黑体"/>
      <w:b/>
      <w:bCs/>
      <w:kern w:val="2"/>
      <w:sz w:val="28"/>
      <w:szCs w:val="32"/>
    </w:rPr>
  </w:style>
  <w:style w:type="character" w:customStyle="1" w:styleId="18">
    <w:name w:val="文档结构图 Char"/>
    <w:link w:val="5"/>
    <w:qFormat/>
    <w:uiPriority w:val="99"/>
    <w:rPr>
      <w:rFonts w:ascii="宋体" w:eastAsia="宋体"/>
      <w:sz w:val="18"/>
      <w:szCs w:val="18"/>
    </w:rPr>
  </w:style>
  <w:style w:type="character" w:customStyle="1" w:styleId="19">
    <w:name w:val="批注文字 Char"/>
    <w:link w:val="6"/>
    <w:semiHidden/>
    <w:qFormat/>
    <w:uiPriority w:val="99"/>
  </w:style>
  <w:style w:type="character" w:customStyle="1" w:styleId="20">
    <w:name w:val="批注框文本 Char"/>
    <w:link w:val="7"/>
    <w:semiHidden/>
    <w:qFormat/>
    <w:uiPriority w:val="99"/>
    <w:rPr>
      <w:sz w:val="18"/>
      <w:szCs w:val="18"/>
    </w:rPr>
  </w:style>
  <w:style w:type="character" w:customStyle="1" w:styleId="21">
    <w:name w:val="页脚 Char"/>
    <w:link w:val="8"/>
    <w:qFormat/>
    <w:uiPriority w:val="99"/>
    <w:rPr>
      <w:sz w:val="18"/>
      <w:szCs w:val="18"/>
    </w:rPr>
  </w:style>
  <w:style w:type="character" w:customStyle="1" w:styleId="22">
    <w:name w:val="页眉 Char"/>
    <w:link w:val="9"/>
    <w:qFormat/>
    <w:uiPriority w:val="99"/>
    <w:rPr>
      <w:sz w:val="18"/>
      <w:szCs w:val="18"/>
    </w:rPr>
  </w:style>
  <w:style w:type="character" w:customStyle="1" w:styleId="23">
    <w:name w:val="批注主题 Char"/>
    <w:link w:val="11"/>
    <w:semiHidden/>
    <w:qFormat/>
    <w:uiPriority w:val="99"/>
    <w:rPr>
      <w:b/>
      <w:bCs/>
    </w:rPr>
  </w:style>
  <w:style w:type="character" w:customStyle="1" w:styleId="24">
    <w:name w:val="批注文字 Char1"/>
    <w:semiHidden/>
    <w:qFormat/>
    <w:uiPriority w:val="99"/>
  </w:style>
  <w:style w:type="paragraph" w:customStyle="1" w:styleId="2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6">
    <w:name w:val="font41"/>
    <w:qFormat/>
    <w:uiPriority w:val="0"/>
    <w:rPr>
      <w:rFonts w:hint="eastAsia" w:ascii="宋体" w:hAnsi="宋体" w:eastAsia="宋体"/>
      <w:color w:val="000000"/>
      <w:sz w:val="22"/>
      <w:szCs w:val="22"/>
      <w:u w:val="none"/>
    </w:rPr>
  </w:style>
  <w:style w:type="character" w:customStyle="1" w:styleId="27">
    <w:name w:val="font01"/>
    <w:qFormat/>
    <w:uiPriority w:val="0"/>
    <w:rPr>
      <w:rFonts w:hint="eastAsia" w:ascii="宋体" w:hAnsi="宋体" w:eastAsia="宋体"/>
      <w:color w:val="FF0000"/>
      <w:sz w:val="22"/>
      <w:szCs w:val="22"/>
      <w:u w:val="none"/>
    </w:rPr>
  </w:style>
  <w:style w:type="paragraph" w:customStyle="1" w:styleId="28">
    <w:name w:val="列出段落1"/>
    <w:basedOn w:val="1"/>
    <w:qFormat/>
    <w:uiPriority w:val="34"/>
    <w:pPr>
      <w:ind w:firstLine="420" w:firstLineChars="200"/>
    </w:pPr>
  </w:style>
  <w:style w:type="paragraph" w:customStyle="1" w:styleId="29">
    <w:name w:val="列出段落2"/>
    <w:basedOn w:val="1"/>
    <w:unhideWhenUsed/>
    <w:qFormat/>
    <w:uiPriority w:val="99"/>
    <w:pPr>
      <w:ind w:firstLine="420" w:firstLineChars="200"/>
    </w:pPr>
  </w:style>
  <w:style w:type="paragraph" w:customStyle="1" w:styleId="30">
    <w:name w:val="005正文"/>
    <w:basedOn w:val="1"/>
    <w:link w:val="31"/>
    <w:qFormat/>
    <w:uiPriority w:val="0"/>
    <w:pPr>
      <w:spacing w:beforeLines="50" w:line="360" w:lineRule="auto"/>
      <w:ind w:firstLine="200" w:firstLineChars="200"/>
    </w:pPr>
    <w:rPr>
      <w:rFonts w:ascii="Times New Roman" w:hAnsi="Times New Roman"/>
      <w:kern w:val="0"/>
      <w:sz w:val="24"/>
      <w:szCs w:val="20"/>
    </w:rPr>
  </w:style>
  <w:style w:type="character" w:customStyle="1" w:styleId="31">
    <w:name w:val="005正文 Char"/>
    <w:link w:val="30"/>
    <w:qFormat/>
    <w:uiPriority w:val="0"/>
    <w:rPr>
      <w:rFonts w:ascii="Times New Roman" w:hAnsi="Times New Roman" w:eastAsia="宋体" w:cs="Times New Roman"/>
      <w:sz w:val="24"/>
    </w:rPr>
  </w:style>
  <w:style w:type="paragraph" w:styleId="32">
    <w:name w:val="List Paragraph"/>
    <w:basedOn w:val="1"/>
    <w:link w:val="33"/>
    <w:qFormat/>
    <w:uiPriority w:val="34"/>
    <w:pPr>
      <w:ind w:firstLine="420" w:firstLineChars="200"/>
    </w:pPr>
  </w:style>
  <w:style w:type="character" w:customStyle="1" w:styleId="33">
    <w:name w:val="列出段落 Char"/>
    <w:link w:val="32"/>
    <w:qFormat/>
    <w:uiPriority w:val="34"/>
  </w:style>
  <w:style w:type="paragraph" w:customStyle="1" w:styleId="34">
    <w:name w:val="修订1"/>
    <w:unhideWhenUsed/>
    <w:qFormat/>
    <w:uiPriority w:val="99"/>
    <w:rPr>
      <w:rFonts w:ascii="Calibri" w:hAnsi="Calibri" w:eastAsia="宋体" w:cs="Times New Roman"/>
      <w:kern w:val="2"/>
      <w:sz w:val="21"/>
      <w:szCs w:val="22"/>
      <w:lang w:val="en-US" w:eastAsia="zh-CN" w:bidi="ar-SA"/>
    </w:rPr>
  </w:style>
  <w:style w:type="paragraph" w:customStyle="1" w:styleId="35">
    <w:name w:val="正文（标题）"/>
    <w:basedOn w:val="1"/>
    <w:qFormat/>
    <w:uiPriority w:val="0"/>
    <w:pPr>
      <w:spacing w:line="600" w:lineRule="exact"/>
      <w:ind w:firstLine="200" w:firstLineChars="200"/>
      <w:outlineLvl w:val="2"/>
    </w:pPr>
    <w:rPr>
      <w:rFonts w:ascii="Times New Roman" w:hAnsi="Times New Roman" w:eastAsia="仿宋_GB2312"/>
      <w:sz w:val="30"/>
      <w:szCs w:val="21"/>
    </w:rPr>
  </w:style>
  <w:style w:type="paragraph" w:customStyle="1" w:styleId="36">
    <w:name w:val="列表段落1"/>
    <w:basedOn w:val="1"/>
    <w:unhideWhenUsed/>
    <w:qFormat/>
    <w:uiPriority w:val="34"/>
    <w:pPr>
      <w:ind w:firstLine="420" w:firstLineChars="200"/>
    </w:pPr>
  </w:style>
  <w:style w:type="paragraph" w:customStyle="1" w:styleId="37">
    <w:name w:val="修订2"/>
    <w:semiHidden/>
    <w:qFormat/>
    <w:uiPriority w:val="99"/>
    <w:rPr>
      <w:rFonts w:ascii="Calibri" w:hAnsi="Calibri" w:eastAsia="宋体" w:cs="Times New Roman"/>
      <w:kern w:val="2"/>
      <w:sz w:val="21"/>
      <w:szCs w:val="22"/>
      <w:lang w:val="en-US" w:eastAsia="zh-CN" w:bidi="ar-SA"/>
    </w:rPr>
  </w:style>
  <w:style w:type="paragraph" w:customStyle="1" w:styleId="38">
    <w:name w:val="修订3"/>
    <w:unhideWhenUsed/>
    <w:qFormat/>
    <w:uiPriority w:val="99"/>
    <w:rPr>
      <w:rFonts w:ascii="Calibri" w:hAnsi="Calibri" w:eastAsia="宋体" w:cs="Times New Roman"/>
      <w:kern w:val="2"/>
      <w:sz w:val="21"/>
      <w:szCs w:val="22"/>
      <w:lang w:val="en-US" w:eastAsia="zh-CN" w:bidi="ar-SA"/>
    </w:rPr>
  </w:style>
  <w:style w:type="paragraph" w:customStyle="1" w:styleId="39">
    <w:name w:val="修订4"/>
    <w:unhideWhenUsed/>
    <w:qFormat/>
    <w:uiPriority w:val="99"/>
    <w:rPr>
      <w:rFonts w:ascii="Calibri" w:hAnsi="Calibri" w:eastAsia="宋体" w:cs="Times New Roman"/>
      <w:kern w:val="2"/>
      <w:sz w:val="21"/>
      <w:szCs w:val="22"/>
      <w:lang w:val="en-US" w:eastAsia="zh-CN" w:bidi="ar-SA"/>
    </w:rPr>
  </w:style>
  <w:style w:type="paragraph" w:customStyle="1" w:styleId="40">
    <w:name w:val="修订5"/>
    <w:unhideWhenUsed/>
    <w:qFormat/>
    <w:uiPriority w:val="99"/>
    <w:rPr>
      <w:rFonts w:ascii="Calibri" w:hAnsi="Calibri" w:eastAsia="宋体" w:cs="Times New Roman"/>
      <w:kern w:val="2"/>
      <w:sz w:val="21"/>
      <w:szCs w:val="22"/>
      <w:lang w:val="en-US" w:eastAsia="zh-CN" w:bidi="ar-SA"/>
    </w:rPr>
  </w:style>
  <w:style w:type="paragraph" w:customStyle="1" w:styleId="41">
    <w:name w:val="修订6"/>
    <w:semiHidden/>
    <w:qFormat/>
    <w:uiPriority w:val="99"/>
    <w:rPr>
      <w:rFonts w:ascii="Calibri" w:hAnsi="Calibri" w:eastAsia="宋体" w:cs="Times New Roman"/>
      <w:kern w:val="2"/>
      <w:sz w:val="21"/>
      <w:szCs w:val="22"/>
      <w:lang w:val="en-US" w:eastAsia="zh-CN" w:bidi="ar-SA"/>
    </w:rPr>
  </w:style>
  <w:style w:type="paragraph" w:customStyle="1" w:styleId="42">
    <w:name w:val="修订7"/>
    <w:semiHidden/>
    <w:qFormat/>
    <w:uiPriority w:val="99"/>
    <w:rPr>
      <w:rFonts w:ascii="Calibri" w:hAnsi="Calibri" w:eastAsia="宋体" w:cs="Times New Roman"/>
      <w:kern w:val="2"/>
      <w:sz w:val="21"/>
      <w:szCs w:val="22"/>
      <w:lang w:val="en-US" w:eastAsia="zh-CN" w:bidi="ar-SA"/>
    </w:rPr>
  </w:style>
  <w:style w:type="paragraph" w:customStyle="1" w:styleId="43">
    <w:name w:val="_Style 40"/>
    <w:unhideWhenUsed/>
    <w:qFormat/>
    <w:uiPriority w:val="99"/>
    <w:rPr>
      <w:rFonts w:ascii="Calibri" w:hAnsi="Calibri" w:eastAsia="宋体" w:cs="Times New Roman"/>
      <w:kern w:val="2"/>
      <w:sz w:val="21"/>
      <w:szCs w:val="22"/>
      <w:lang w:val="en-US" w:eastAsia="zh-CN" w:bidi="ar-SA"/>
    </w:rPr>
  </w:style>
  <w:style w:type="paragraph" w:customStyle="1" w:styleId="44">
    <w:name w:val="修订8"/>
    <w:hidden/>
    <w:unhideWhenUsed/>
    <w:qFormat/>
    <w:uiPriority w:val="99"/>
    <w:rPr>
      <w:rFonts w:ascii="Calibri" w:hAnsi="Calibri" w:eastAsia="宋体" w:cs="Times New Roman"/>
      <w:kern w:val="2"/>
      <w:sz w:val="21"/>
      <w:szCs w:val="22"/>
      <w:lang w:val="en-US" w:eastAsia="zh-CN" w:bidi="ar-SA"/>
    </w:rPr>
  </w:style>
  <w:style w:type="paragraph" w:customStyle="1" w:styleId="45">
    <w:name w:val="正文-招股书"/>
    <w:basedOn w:val="1"/>
    <w:qFormat/>
    <w:uiPriority w:val="4"/>
    <w:pPr>
      <w:widowControl w:val="0"/>
      <w:snapToGrid w:val="0"/>
      <w:spacing w:before="156" w:beforeLines="50" w:line="360" w:lineRule="auto"/>
      <w:ind w:firstLine="480" w:firstLineChars="200"/>
      <w:jc w:val="both"/>
    </w:pPr>
    <w:rPr>
      <w:rFonts w:ascii="Times New Roman" w:hAnsi="Times New Roman" w:cs="Times New Roman"/>
      <w:kern w:val="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xinh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wdzx97</Template>
  <Pages>45</Pages>
  <Words>28322</Words>
  <Characters>28773</Characters>
  <Lines>189</Lines>
  <Paragraphs>53</Paragraphs>
  <TotalTime>31</TotalTime>
  <ScaleCrop>false</ScaleCrop>
  <LinksUpToDate>false</LinksUpToDate>
  <CharactersWithSpaces>28777</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2024-05-30T20:06:00Z</dcterms:created>
  <dc:creator>sse</dc:creator>
  <cp:lastModifiedBy>whxu</cp:lastModifiedBy>
  <cp:lastPrinted>2023-02-17T21:57:00Z</cp:lastPrinted>
  <dcterms:modified xsi:type="dcterms:W3CDTF">2025-05-16T21:09:14Z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06E4EABC6AB1407CA614ADB7AD4C5944_13</vt:lpwstr>
  </property>
  <property fmtid="{D5CDD505-2E9C-101B-9397-08002B2CF9AE}" pid="4" name="KSOTemplateDocerSaveRecord">
    <vt:lpwstr>eyJoZGlkIjoiMGI4M2Y2YjM3NjBjODQ1YWY2MDk2YTQyMzY5NjE1MTciLCJ1c2VySWQiOiIxMzA5Mzc3NDk4In0=</vt:lpwstr>
  </property>
</Properties>
</file>