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附件</w:t>
      </w:r>
    </w:p>
    <w:p>
      <w:pPr>
        <w:spacing w:line="0" w:lineRule="atLeast"/>
        <w:jc w:val="center"/>
        <w:rPr>
          <w:rFonts w:ascii="黑体" w:hAnsi="黑体" w:eastAsia="黑体"/>
          <w:b/>
          <w:color w:val="000000" w:themeColor="text1"/>
          <w:sz w:val="44"/>
          <w:szCs w:val="44"/>
          <w14:textFill>
            <w14:solidFill>
              <w14:schemeClr w14:val="tx1"/>
            </w14:solidFill>
          </w14:textFill>
        </w:rPr>
      </w:pPr>
    </w:p>
    <w:p>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bookmarkStart w:id="0" w:name="_GoBack"/>
      <w:r>
        <w:rPr>
          <w:rFonts w:hint="default" w:ascii="Times New Roman" w:hAnsi="Times New Roman" w:eastAsia="黑体" w:cs="Times New Roman"/>
          <w:b/>
          <w:color w:val="000000" w:themeColor="text1"/>
          <w:sz w:val="44"/>
          <w:szCs w:val="44"/>
          <w14:textFill>
            <w14:solidFill>
              <w14:schemeClr w14:val="tx1"/>
            </w14:solidFill>
          </w14:textFill>
        </w:rPr>
        <w:t>上海证券交易所发行上市审核业务指南第4号——</w:t>
      </w:r>
    </w:p>
    <w:p>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常见问题的信息披露和核查要求自查表</w:t>
      </w:r>
    </w:p>
    <w:p>
      <w:pPr>
        <w:spacing w:line="0" w:lineRule="atLeast"/>
        <w:jc w:val="center"/>
        <w:rPr>
          <w:rFonts w:hint="default" w:ascii="Times New Roman" w:hAnsi="Times New Roman" w:eastAsia="黑体" w:cs="Times New Roman"/>
          <w:b/>
          <w:color w:val="000000" w:themeColor="text1"/>
          <w:sz w:val="44"/>
          <w:szCs w:val="44"/>
          <w14:textFill>
            <w14:solidFill>
              <w14:schemeClr w14:val="tx1"/>
            </w14:solidFill>
          </w14:textFill>
        </w:rPr>
      </w:pPr>
      <w:r>
        <w:rPr>
          <w:rFonts w:hint="default" w:ascii="Times New Roman" w:hAnsi="Times New Roman" w:eastAsia="黑体" w:cs="Times New Roman"/>
          <w:b/>
          <w:color w:val="000000" w:themeColor="text1"/>
          <w:sz w:val="44"/>
          <w:szCs w:val="44"/>
          <w14:textFill>
            <w14:solidFill>
              <w14:schemeClr w14:val="tx1"/>
            </w14:solidFill>
          </w14:textFill>
        </w:rPr>
        <w:t>第三号 上市公司向特定对象发行证券</w:t>
      </w:r>
    </w:p>
    <w:p>
      <w:pPr>
        <w:spacing w:line="0" w:lineRule="atLeast"/>
        <w:jc w:val="center"/>
        <w:rPr>
          <w:rFonts w:hint="default" w:ascii="Times New Roman" w:hAnsi="Times New Roman" w:eastAsia="黑体" w:cs="Times New Roman"/>
          <w:b/>
          <w:color w:val="000000" w:themeColor="text1"/>
          <w:sz w:val="44"/>
          <w:szCs w:val="44"/>
          <w:lang w:eastAsia="zh-CN"/>
          <w14:textFill>
            <w14:solidFill>
              <w14:schemeClr w14:val="tx1"/>
            </w14:solidFill>
          </w14:textFill>
        </w:rPr>
      </w:pPr>
      <w:r>
        <w:rPr>
          <w:rFonts w:hint="default" w:ascii="Times New Roman" w:hAnsi="Times New Roman" w:eastAsia="黑体" w:cs="Times New Roman"/>
          <w:b/>
          <w:color w:val="000000" w:themeColor="text1"/>
          <w:sz w:val="44"/>
          <w:szCs w:val="44"/>
          <w:lang w:eastAsia="zh-CN"/>
          <w14:textFill>
            <w14:solidFill>
              <w14:schemeClr w14:val="tx1"/>
            </w14:solidFill>
          </w14:textFill>
        </w:rPr>
        <w:t>（</w:t>
      </w:r>
      <w:r>
        <w:rPr>
          <w:rFonts w:hint="default" w:ascii="Times New Roman" w:hAnsi="Times New Roman" w:eastAsia="黑体" w:cs="Times New Roman"/>
          <w:b/>
          <w:color w:val="000000" w:themeColor="text1"/>
          <w:sz w:val="44"/>
          <w:szCs w:val="44"/>
          <w:lang w:val="en-US" w:eastAsia="zh-CN"/>
          <w14:textFill>
            <w14:solidFill>
              <w14:schemeClr w14:val="tx1"/>
            </w14:solidFill>
          </w14:textFill>
        </w:rPr>
        <w:t>2025年4月修订</w:t>
      </w:r>
      <w:r>
        <w:rPr>
          <w:rFonts w:hint="default" w:ascii="Times New Roman" w:hAnsi="Times New Roman" w:eastAsia="黑体" w:cs="Times New Roman"/>
          <w:b/>
          <w:color w:val="000000" w:themeColor="text1"/>
          <w:sz w:val="44"/>
          <w:szCs w:val="44"/>
          <w:lang w:eastAsia="zh-CN"/>
          <w14:textFill>
            <w14:solidFill>
              <w14:schemeClr w14:val="tx1"/>
            </w14:solidFill>
          </w14:textFill>
        </w:rPr>
        <w:t>）</w:t>
      </w:r>
    </w:p>
    <w:bookmarkEnd w:id="0"/>
    <w:p>
      <w:pPr>
        <w:spacing w:line="0" w:lineRule="atLeast"/>
        <w:jc w:val="center"/>
        <w:rPr>
          <w:rFonts w:ascii="黑体" w:hAnsi="黑体" w:eastAsia="黑体"/>
          <w:b/>
          <w:color w:val="000000" w:themeColor="text1"/>
          <w:sz w:val="44"/>
          <w:szCs w:val="44"/>
          <w14:textFill>
            <w14:solidFill>
              <w14:schemeClr w14:val="tx1"/>
            </w14:solidFill>
          </w14:textFill>
        </w:rPr>
      </w:pPr>
    </w:p>
    <w:tbl>
      <w:tblPr>
        <w:tblStyle w:val="12"/>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序号</w:t>
            </w:r>
          </w:p>
        </w:tc>
        <w:tc>
          <w:tcPr>
            <w:tcW w:w="5695" w:type="dxa"/>
            <w:vMerge w:val="restart"/>
            <w:shd w:val="clear" w:color="auto" w:fill="8DB3E2"/>
            <w:vAlign w:val="center"/>
          </w:tcPr>
          <w:p>
            <w:pPr>
              <w:jc w:val="center"/>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问题</w:t>
            </w:r>
          </w:p>
        </w:tc>
        <w:tc>
          <w:tcPr>
            <w:tcW w:w="743" w:type="dxa"/>
            <w:vMerge w:val="restart"/>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是否</w:t>
            </w:r>
          </w:p>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适用</w:t>
            </w:r>
          </w:p>
        </w:tc>
        <w:tc>
          <w:tcPr>
            <w:tcW w:w="2228" w:type="dxa"/>
            <w:tcBorders>
              <w:bottom w:val="single" w:color="000000" w:sz="4" w:space="0"/>
            </w:tcBorders>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披露要求落实情况</w:t>
            </w:r>
          </w:p>
        </w:tc>
        <w:tc>
          <w:tcPr>
            <w:tcW w:w="4208" w:type="dxa"/>
            <w:gridSpan w:val="3"/>
            <w:tcBorders>
              <w:bottom w:val="single" w:color="000000" w:sz="4" w:space="0"/>
            </w:tcBorders>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核查要求落实情况</w:t>
            </w:r>
          </w:p>
        </w:tc>
        <w:tc>
          <w:tcPr>
            <w:tcW w:w="550" w:type="dxa"/>
            <w:vMerge w:val="restart"/>
            <w:shd w:val="clear" w:color="auto" w:fill="8DB3E2"/>
            <w:vAlign w:val="center"/>
          </w:tcPr>
          <w:p>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pPr>
              <w:jc w:val="center"/>
              <w:rPr>
                <w:rFonts w:ascii="Times New Roman" w:hAnsi="Times New Roman" w:eastAsia="仿宋_GB2312"/>
                <w:b/>
                <w:color w:val="000000" w:themeColor="text1"/>
                <w14:textFill>
                  <w14:solidFill>
                    <w14:schemeClr w14:val="tx1"/>
                  </w14:solidFill>
                </w14:textFill>
              </w:rPr>
            </w:pPr>
          </w:p>
        </w:tc>
        <w:tc>
          <w:tcPr>
            <w:tcW w:w="5695" w:type="dxa"/>
            <w:vMerge w:val="continue"/>
            <w:shd w:val="clear" w:color="auto" w:fill="auto"/>
            <w:vAlign w:val="center"/>
          </w:tcPr>
          <w:p>
            <w:pPr>
              <w:jc w:val="center"/>
              <w:rPr>
                <w:rFonts w:ascii="Times New Roman" w:hAnsi="Times New Roman" w:eastAsia="仿宋_GB2312"/>
                <w:b/>
                <w:color w:val="000000" w:themeColor="text1"/>
                <w14:textFill>
                  <w14:solidFill>
                    <w14:schemeClr w14:val="tx1"/>
                  </w14:solidFill>
                </w14:textFill>
              </w:rPr>
            </w:pPr>
          </w:p>
        </w:tc>
        <w:tc>
          <w:tcPr>
            <w:tcW w:w="743" w:type="dxa"/>
            <w:vMerge w:val="continue"/>
            <w:shd w:val="clear" w:color="auto" w:fill="auto"/>
            <w:vAlign w:val="center"/>
          </w:tcPr>
          <w:p>
            <w:pPr>
              <w:jc w:val="center"/>
              <w:rPr>
                <w:rFonts w:ascii="Times New Roman" w:hAnsi="Times New Roman" w:eastAsia="仿宋_GB2312"/>
                <w:b/>
                <w:color w:val="000000" w:themeColor="text1"/>
                <w14:textFill>
                  <w14:solidFill>
                    <w14:schemeClr w14:val="tx1"/>
                  </w14:solidFill>
                </w14:textFill>
              </w:rPr>
            </w:pPr>
          </w:p>
        </w:tc>
        <w:tc>
          <w:tcPr>
            <w:tcW w:w="2228" w:type="dxa"/>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募集说明书</w:t>
            </w:r>
          </w:p>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章节</w:t>
            </w:r>
          </w:p>
        </w:tc>
        <w:tc>
          <w:tcPr>
            <w:tcW w:w="1500" w:type="dxa"/>
            <w:shd w:val="clear" w:color="auto" w:fill="8DB3E2"/>
            <w:vAlign w:val="center"/>
          </w:tcPr>
          <w:p>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保荐工作</w:t>
            </w:r>
          </w:p>
          <w:p>
            <w:pPr>
              <w:jc w:val="center"/>
              <w:rPr>
                <w:rFonts w:hint="eastAsia" w:ascii="Times New Roman" w:hAnsi="Times New Roman" w:eastAsia="仿宋_GB2312"/>
                <w:b/>
                <w:color w:val="000000" w:themeColor="text1"/>
                <w:lang w:eastAsia="zh-CN"/>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报告</w:t>
            </w:r>
            <w:r>
              <w:rPr>
                <w:rFonts w:hint="eastAsia" w:ascii="Times New Roman" w:hAnsi="Times New Roman" w:eastAsia="仿宋_GB2312"/>
                <w:b/>
                <w:color w:val="000000" w:themeColor="text1"/>
                <w:lang w:eastAsia="zh-CN"/>
                <w14:textFill>
                  <w14:solidFill>
                    <w14:schemeClr w14:val="tx1"/>
                  </w14:solidFill>
                </w14:textFill>
              </w:rPr>
              <w:t>章节</w:t>
            </w:r>
            <w:r>
              <w:rPr>
                <w:rFonts w:hint="eastAsia" w:ascii="Times New Roman" w:hAnsi="Times New Roman" w:eastAsia="仿宋_GB2312"/>
                <w:b/>
                <w:color w:val="000000" w:themeColor="text1"/>
                <w14:textFill>
                  <w14:solidFill>
                    <w14:schemeClr w14:val="tx1"/>
                  </w14:solidFill>
                </w14:textFill>
              </w:rPr>
              <w:t>或专项核查报告</w:t>
            </w:r>
            <w:r>
              <w:rPr>
                <w:rFonts w:hint="eastAsia" w:ascii="Times New Roman" w:hAnsi="Times New Roman" w:eastAsia="仿宋_GB2312"/>
                <w:b/>
                <w:color w:val="000000" w:themeColor="text1"/>
                <w:lang w:eastAsia="zh-CN"/>
                <w14:textFill>
                  <w14:solidFill>
                    <w14:schemeClr w14:val="tx1"/>
                  </w14:solidFill>
                </w14:textFill>
              </w:rPr>
              <w:t>名称</w:t>
            </w:r>
          </w:p>
        </w:tc>
        <w:tc>
          <w:tcPr>
            <w:tcW w:w="1286" w:type="dxa"/>
            <w:shd w:val="clear" w:color="auto" w:fill="8DB3E2"/>
            <w:vAlign w:val="center"/>
          </w:tcPr>
          <w:p>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律师工作</w:t>
            </w:r>
          </w:p>
          <w:p>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报告章节</w:t>
            </w:r>
          </w:p>
        </w:tc>
        <w:tc>
          <w:tcPr>
            <w:tcW w:w="1422" w:type="dxa"/>
            <w:shd w:val="clear" w:color="auto" w:fill="8DB3E2"/>
            <w:vAlign w:val="center"/>
          </w:tcPr>
          <w:p>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会计师核查</w:t>
            </w:r>
          </w:p>
          <w:p>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报告章节</w:t>
            </w:r>
          </w:p>
        </w:tc>
        <w:tc>
          <w:tcPr>
            <w:tcW w:w="550" w:type="dxa"/>
            <w:vMerge w:val="continue"/>
            <w:vAlign w:val="center"/>
          </w:tcPr>
          <w:p>
            <w:pPr>
              <w:jc w:val="center"/>
              <w:rPr>
                <w:rFonts w:ascii="仿宋_GB2312" w:eastAsia="仿宋_GB2312"/>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tcBorders>
              <w:bottom w:val="single" w:color="000000" w:sz="4" w:space="0"/>
            </w:tcBorders>
            <w:vAlign w:val="center"/>
          </w:tcPr>
          <w:p>
            <w:pPr>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一、关于募集资金运用的相关问题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w:t>
            </w:r>
          </w:p>
        </w:tc>
        <w:tc>
          <w:tcPr>
            <w:tcW w:w="5695" w:type="dxa"/>
            <w:tcBorders>
              <w:bottom w:val="single" w:color="000000" w:sz="4" w:space="0"/>
            </w:tcBorders>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历次募集资金使用情况</w:t>
            </w:r>
          </w:p>
        </w:tc>
        <w:tc>
          <w:tcPr>
            <w:tcW w:w="743" w:type="dxa"/>
            <w:tcBorders>
              <w:bottom w:val="single" w:color="000000" w:sz="4" w:space="0"/>
            </w:tcBorders>
            <w:vAlign w:val="center"/>
          </w:tcPr>
          <w:p>
            <w:pPr>
              <w:rPr>
                <w:rFonts w:ascii="Times New Roman" w:hAnsi="Times New Roman" w:eastAsia="仿宋_GB2312"/>
                <w:bCs/>
                <w:color w:val="000000" w:themeColor="text1"/>
                <w14:textFill>
                  <w14:solidFill>
                    <w14:schemeClr w14:val="tx1"/>
                  </w14:solidFill>
                </w14:textFill>
              </w:rPr>
            </w:pPr>
          </w:p>
        </w:tc>
        <w:tc>
          <w:tcPr>
            <w:tcW w:w="2228"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tcBorders>
              <w:bottom w:val="single" w:color="000000" w:sz="4" w:space="0"/>
            </w:tcBorders>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1-2</w:t>
            </w:r>
          </w:p>
        </w:tc>
        <w:tc>
          <w:tcPr>
            <w:tcW w:w="5695" w:type="dxa"/>
            <w:tcBorders>
              <w:bottom w:val="single" w:color="000000" w:sz="4" w:space="0"/>
            </w:tcBorders>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融资间隔</w:t>
            </w:r>
          </w:p>
        </w:tc>
        <w:tc>
          <w:tcPr>
            <w:tcW w:w="743"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pPr>
              <w:rPr>
                <w:rFonts w:ascii="Times New Roman" w:hAnsi="Times New Roman" w:eastAsia="仿宋_GB2312"/>
                <w:bCs/>
                <w:color w:val="000000" w:themeColor="text1"/>
                <w14:textFill>
                  <w14:solidFill>
                    <w14:schemeClr w14:val="tx1"/>
                  </w14:solidFill>
                </w14:textFill>
              </w:rPr>
            </w:pPr>
          </w:p>
        </w:tc>
        <w:tc>
          <w:tcPr>
            <w:tcW w:w="1286"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1-3</w:t>
            </w:r>
          </w:p>
        </w:tc>
        <w:tc>
          <w:tcPr>
            <w:tcW w:w="5695" w:type="dxa"/>
            <w:tcBorders>
              <w:bottom w:val="single" w:color="000000" w:sz="4" w:space="0"/>
            </w:tcBorders>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募投项目与既有业务关系</w:t>
            </w:r>
          </w:p>
        </w:tc>
        <w:tc>
          <w:tcPr>
            <w:tcW w:w="743"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1-4</w:t>
            </w:r>
          </w:p>
        </w:tc>
        <w:tc>
          <w:tcPr>
            <w:tcW w:w="5695" w:type="dxa"/>
            <w:tcBorders>
              <w:bottom w:val="single" w:color="000000" w:sz="4" w:space="0"/>
            </w:tcBorders>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募集资金用于拓展新业务、新产品情况</w:t>
            </w:r>
          </w:p>
        </w:tc>
        <w:tc>
          <w:tcPr>
            <w:tcW w:w="743"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1-5</w:t>
            </w:r>
          </w:p>
        </w:tc>
        <w:tc>
          <w:tcPr>
            <w:tcW w:w="5695" w:type="dxa"/>
            <w:tcBorders>
              <w:bottom w:val="single" w:color="000000" w:sz="4" w:space="0"/>
            </w:tcBorders>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募集资金使用规划</w:t>
            </w:r>
          </w:p>
        </w:tc>
        <w:tc>
          <w:tcPr>
            <w:tcW w:w="743"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1-6</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补充流动资金的情形</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1-7</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募投项目效益测算</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1-8</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募投项目备案或审批情况</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1-9</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募集资金研发投入情况</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1-10</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发行人是否通过控股公司或参股公司实施募投项目</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1-11</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发行人主营业务或本次募投项目是否涉及产能过剩行业</w:t>
            </w:r>
            <w:r>
              <w:rPr>
                <w:rFonts w:hint="eastAsia" w:ascii="仿宋_GB2312" w:hAnsi="仿宋_GB2312" w:eastAsia="仿宋_GB2312" w:cs="仿宋_GB2312"/>
                <w:b/>
                <w:bCs/>
                <w:color w:val="000000" w:themeColor="text1"/>
                <w:lang w:eastAsia="zh-CN"/>
                <w14:textFill>
                  <w14:solidFill>
                    <w14:schemeClr w14:val="tx1"/>
                  </w14:solidFill>
                </w14:textFill>
              </w:rPr>
              <w:t>，</w:t>
            </w:r>
            <w:r>
              <w:rPr>
                <w:rFonts w:hint="eastAsia" w:ascii="仿宋_GB2312" w:hAnsi="仿宋_GB2312" w:eastAsia="仿宋_GB2312" w:cs="仿宋_GB2312"/>
                <w:b/>
                <w:bCs/>
                <w:color w:val="000000" w:themeColor="text1"/>
                <w14:textFill>
                  <w14:solidFill>
                    <w14:schemeClr w14:val="tx1"/>
                  </w14:solidFill>
                </w14:textFill>
              </w:rPr>
              <w:t>限制类、淘汰类行业，高耗能高排放行业</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1-12</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募集资金投向科创领域</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二、关于发行方案的相关问题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2-1</w:t>
            </w:r>
          </w:p>
        </w:tc>
        <w:tc>
          <w:tcPr>
            <w:tcW w:w="5695" w:type="dxa"/>
            <w:vAlign w:val="center"/>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董事会前确定发行对象的相关事项</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三、关于合规性的相关问题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3-1</w:t>
            </w:r>
          </w:p>
        </w:tc>
        <w:tc>
          <w:tcPr>
            <w:tcW w:w="5695" w:type="dxa"/>
            <w:vAlign w:val="center"/>
          </w:tcPr>
          <w:p>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违法行为、资本市场失信惩戒相关信息核查</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3-2</w:t>
            </w:r>
          </w:p>
        </w:tc>
        <w:tc>
          <w:tcPr>
            <w:tcW w:w="5695" w:type="dxa"/>
            <w:vAlign w:val="center"/>
          </w:tcPr>
          <w:p>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同业竞争</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3-3</w:t>
            </w:r>
          </w:p>
        </w:tc>
        <w:tc>
          <w:tcPr>
            <w:tcW w:w="5695" w:type="dxa"/>
            <w:vAlign w:val="center"/>
          </w:tcPr>
          <w:p>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关联交易</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3-4</w:t>
            </w:r>
          </w:p>
        </w:tc>
        <w:tc>
          <w:tcPr>
            <w:tcW w:w="5695" w:type="dxa"/>
            <w:vAlign w:val="center"/>
          </w:tcPr>
          <w:p>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优先股</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3-5</w:t>
            </w:r>
          </w:p>
        </w:tc>
        <w:tc>
          <w:tcPr>
            <w:tcW w:w="5695" w:type="dxa"/>
            <w:vAlign w:val="center"/>
          </w:tcPr>
          <w:p>
            <w:pPr>
              <w:rPr>
                <w:rFonts w:hint="default" w:ascii="仿宋_GB2312" w:hAnsi="仿宋_GB2312" w:eastAsia="仿宋_GB2312" w:cs="仿宋_GB2312"/>
                <w:b/>
                <w:bCs/>
                <w:color w:val="000000" w:themeColor="text1"/>
                <w:spacing w:val="-1"/>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
                <w:highlight w:val="none"/>
                <w:lang w:val="en-US" w:eastAsia="zh-CN"/>
                <w14:textFill>
                  <w14:solidFill>
                    <w14:schemeClr w14:val="tx1"/>
                  </w14:solidFill>
                </w14:textFill>
              </w:rPr>
              <w:t>股东会</w:t>
            </w:r>
            <w:r>
              <w:rPr>
                <w:rFonts w:hint="eastAsia" w:ascii="仿宋_GB2312" w:hAnsi="仿宋_GB2312" w:eastAsia="仿宋_GB2312" w:cs="仿宋_GB2312"/>
                <w:b/>
                <w:bCs/>
                <w:color w:val="000000" w:themeColor="text1"/>
                <w:spacing w:val="-1"/>
                <w:lang w:val="en-US" w:eastAsia="zh-CN"/>
                <w14:textFill>
                  <w14:solidFill>
                    <w14:schemeClr w14:val="tx1"/>
                  </w14:solidFill>
                </w14:textFill>
              </w:rPr>
              <w:t>决议有效期</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3-6</w:t>
            </w:r>
          </w:p>
        </w:tc>
        <w:tc>
          <w:tcPr>
            <w:tcW w:w="5695" w:type="dxa"/>
            <w:vAlign w:val="center"/>
          </w:tcPr>
          <w:p>
            <w:pPr>
              <w:rPr>
                <w:rFonts w:hint="eastAsia" w:ascii="仿宋_GB2312" w:hAnsi="仿宋_GB2312" w:eastAsia="仿宋_GB2312" w:cs="仿宋_GB2312"/>
                <w:b/>
                <w:bCs/>
                <w:color w:val="000000" w:themeColor="text1"/>
                <w:spacing w:val="-1"/>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
                <w:lang w:val="en-US" w:eastAsia="zh-CN"/>
                <w14:textFill>
                  <w14:solidFill>
                    <w14:schemeClr w14:val="tx1"/>
                  </w14:solidFill>
                </w14:textFill>
              </w:rPr>
              <w:t>股份质押</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四、关于业务及经营情况的相关问题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4-1</w:t>
            </w:r>
          </w:p>
        </w:tc>
        <w:tc>
          <w:tcPr>
            <w:tcW w:w="5695" w:type="dxa"/>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业务经营情况</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4-2</w:t>
            </w:r>
          </w:p>
        </w:tc>
        <w:tc>
          <w:tcPr>
            <w:tcW w:w="5695" w:type="dxa"/>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财务性投资</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4-3</w:t>
            </w:r>
          </w:p>
        </w:tc>
        <w:tc>
          <w:tcPr>
            <w:tcW w:w="5695" w:type="dxa"/>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类金融业务</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4-4</w:t>
            </w:r>
          </w:p>
        </w:tc>
        <w:tc>
          <w:tcPr>
            <w:tcW w:w="5695" w:type="dxa"/>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影响公司核心竞争力、经营稳定性及未来发展的重大风险</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4-5</w:t>
            </w:r>
          </w:p>
        </w:tc>
        <w:tc>
          <w:tcPr>
            <w:tcW w:w="5695" w:type="dxa"/>
          </w:tcPr>
          <w:p>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舆情情况</w:t>
            </w:r>
          </w:p>
        </w:tc>
        <w:tc>
          <w:tcPr>
            <w:tcW w:w="743" w:type="dxa"/>
            <w:vAlign w:val="center"/>
          </w:tcPr>
          <w:p>
            <w:pPr>
              <w:rPr>
                <w:rFonts w:ascii="Times New Roman" w:hAnsi="Times New Roman" w:eastAsia="仿宋_GB2312"/>
                <w:bCs/>
                <w:color w:val="000000" w:themeColor="text1"/>
                <w14:textFill>
                  <w14:solidFill>
                    <w14:schemeClr w14:val="tx1"/>
                  </w14:solidFill>
                </w14:textFill>
              </w:rPr>
            </w:pPr>
          </w:p>
        </w:tc>
        <w:tc>
          <w:tcPr>
            <w:tcW w:w="2228" w:type="dxa"/>
            <w:vAlign w:val="center"/>
          </w:tcPr>
          <w:p>
            <w:pPr>
              <w:rPr>
                <w:rFonts w:ascii="Times New Roman" w:hAnsi="Times New Roman" w:eastAsia="仿宋_GB2312"/>
                <w:color w:val="000000" w:themeColor="text1"/>
                <w14:textFill>
                  <w14:solidFill>
                    <w14:schemeClr w14:val="tx1"/>
                  </w14:solidFill>
                </w14:textFill>
              </w:rPr>
            </w:pPr>
          </w:p>
        </w:tc>
        <w:tc>
          <w:tcPr>
            <w:tcW w:w="1500" w:type="dxa"/>
            <w:vAlign w:val="center"/>
          </w:tcPr>
          <w:p>
            <w:pPr>
              <w:rPr>
                <w:rFonts w:ascii="Times New Roman" w:hAnsi="Times New Roman" w:eastAsia="仿宋_GB2312"/>
                <w:color w:val="000000" w:themeColor="text1"/>
                <w14:textFill>
                  <w14:solidFill>
                    <w14:schemeClr w14:val="tx1"/>
                  </w14:solidFill>
                </w14:textFill>
              </w:rPr>
            </w:pPr>
          </w:p>
        </w:tc>
        <w:tc>
          <w:tcPr>
            <w:tcW w:w="1286" w:type="dxa"/>
          </w:tcPr>
          <w:p>
            <w:pPr>
              <w:rPr>
                <w:rFonts w:ascii="仿宋_GB2312" w:eastAsia="仿宋_GB2312"/>
                <w:color w:val="000000" w:themeColor="text1"/>
                <w14:textFill>
                  <w14:solidFill>
                    <w14:schemeClr w14:val="tx1"/>
                  </w14:solidFill>
                </w14:textFill>
              </w:rPr>
            </w:pPr>
          </w:p>
        </w:tc>
        <w:tc>
          <w:tcPr>
            <w:tcW w:w="1422" w:type="dxa"/>
          </w:tcPr>
          <w:p>
            <w:pPr>
              <w:rPr>
                <w:rFonts w:ascii="仿宋_GB2312" w:eastAsia="仿宋_GB2312"/>
                <w:color w:val="000000" w:themeColor="text1"/>
                <w14:textFill>
                  <w14:solidFill>
                    <w14:schemeClr w14:val="tx1"/>
                  </w14:solidFill>
                </w14:textFill>
              </w:rPr>
            </w:pPr>
          </w:p>
        </w:tc>
        <w:tc>
          <w:tcPr>
            <w:tcW w:w="550" w:type="dxa"/>
            <w:vAlign w:val="center"/>
          </w:tcPr>
          <w:p>
            <w:pPr>
              <w:rPr>
                <w:rFonts w:ascii="仿宋_GB2312" w:eastAsia="仿宋_GB2312"/>
                <w:color w:val="000000" w:themeColor="text1"/>
                <w14:textFill>
                  <w14:solidFill>
                    <w14:schemeClr w14:val="tx1"/>
                  </w14:solidFill>
                </w14:textFill>
              </w:rPr>
            </w:pPr>
          </w:p>
        </w:tc>
      </w:tr>
    </w:tbl>
    <w:p>
      <w:pPr>
        <w:spacing w:line="0" w:lineRule="atLeast"/>
        <w:rPr>
          <w:rFonts w:ascii="黑体" w:hAnsi="黑体" w:eastAsia="黑体"/>
          <w:b/>
          <w:color w:val="000000" w:themeColor="text1"/>
          <w:sz w:val="44"/>
          <w:szCs w:val="44"/>
          <w14:textFill>
            <w14:solidFill>
              <w14:schemeClr w14:val="tx1"/>
            </w14:solidFill>
          </w14:textFill>
        </w:rPr>
      </w:pPr>
    </w:p>
    <w:p>
      <w:pPr>
        <w:adjustRightInd w:val="0"/>
        <w:snapToGrid w:val="0"/>
        <w:spacing w:line="600" w:lineRule="exact"/>
        <w:ind w:firstLine="602" w:firstLineChars="200"/>
        <w:rPr>
          <w:rFonts w:ascii="Times New Roman" w:hAnsi="Times New Roman" w:eastAsia="黑体"/>
          <w:b/>
          <w:color w:val="000000" w:themeColor="text1"/>
          <w:sz w:val="44"/>
          <w:szCs w:val="44"/>
          <w:highlight w:val="none"/>
          <w14:textFill>
            <w14:solidFill>
              <w14:schemeClr w14:val="tx1"/>
            </w14:solidFill>
          </w14:textFill>
        </w:rPr>
      </w:pPr>
      <w:r>
        <w:rPr>
          <w:rFonts w:hint="eastAsia" w:ascii="Times New Roman" w:hAnsi="黑体" w:eastAsia="黑体"/>
          <w:b/>
          <w:color w:val="000000" w:themeColor="text1"/>
          <w:sz w:val="30"/>
          <w:szCs w:val="30"/>
          <w:highlight w:val="none"/>
          <w14:textFill>
            <w14:solidFill>
              <w14:schemeClr w14:val="tx1"/>
            </w14:solidFill>
          </w14:textFill>
        </w:rPr>
        <w:t>填写要求：</w:t>
      </w:r>
    </w:p>
    <w:p>
      <w:pPr>
        <w:adjustRightInd w:val="0"/>
        <w:snapToGrid w:val="0"/>
        <w:spacing w:line="600" w:lineRule="exact"/>
        <w:ind w:firstLine="602" w:firstLineChars="200"/>
        <w:outlineLvl w:val="0"/>
        <w:rPr>
          <w:rFonts w:ascii="Times New Roman" w:hAnsi="Times New Roman" w:eastAsia="黑体"/>
          <w:b/>
          <w:color w:val="000000" w:themeColor="text1"/>
          <w:sz w:val="30"/>
          <w:szCs w:val="30"/>
          <w14:textFill>
            <w14:solidFill>
              <w14:schemeClr w14:val="tx1"/>
            </w14:solidFill>
          </w14:textFill>
        </w:rPr>
      </w:pPr>
      <w:r>
        <w:rPr>
          <w:rFonts w:hint="eastAsia" w:ascii="Times New Roman" w:hAnsi="黑体" w:eastAsia="黑体"/>
          <w:b/>
          <w:color w:val="000000" w:themeColor="text1"/>
          <w:sz w:val="30"/>
          <w:szCs w:val="30"/>
          <w14:textFill>
            <w14:solidFill>
              <w14:schemeClr w14:val="tx1"/>
            </w14:solidFill>
          </w14:textFill>
        </w:rPr>
        <w:t>一、填写规范</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1.请保荐人、发行人律师、申报会计师参考“二、核查及披露要求”认真、如实填写和提交《常见问题的信息披露和核查要求自查表》（以下简称《自查表》）。</w:t>
      </w:r>
    </w:p>
    <w:p>
      <w:pPr>
        <w:adjustRightInd w:val="0"/>
        <w:snapToGrid w:val="0"/>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2.请保荐人在《自查表》“披露要求落实情况”中填写相关内容在募集说明书中的章节，在“核查要求落实情况”中填写相关适用事项在保荐工作报告</w:t>
      </w:r>
      <w:r>
        <w:rPr>
          <w:rFonts w:hint="eastAsia" w:ascii="仿宋_GB2312" w:hAnsi="Times New Roman" w:eastAsia="仿宋_GB2312"/>
          <w:color w:val="000000" w:themeColor="text1"/>
          <w:sz w:val="30"/>
          <w:szCs w:val="30"/>
          <w:lang w:eastAsia="zh-CN"/>
          <w14:textFill>
            <w14:solidFill>
              <w14:schemeClr w14:val="tx1"/>
            </w14:solidFill>
          </w14:textFill>
        </w:rPr>
        <w:t>的章节</w:t>
      </w:r>
      <w:r>
        <w:rPr>
          <w:rFonts w:hint="eastAsia" w:ascii="仿宋_GB2312" w:hAnsi="Times New Roman" w:eastAsia="仿宋_GB2312"/>
          <w:color w:val="000000" w:themeColor="text1"/>
          <w:sz w:val="30"/>
          <w:szCs w:val="30"/>
          <w14:textFill>
            <w14:solidFill>
              <w14:schemeClr w14:val="tx1"/>
            </w14:solidFill>
          </w14:textFill>
        </w:rPr>
        <w:t>或专项核查报告等申报材料的</w:t>
      </w:r>
      <w:r>
        <w:rPr>
          <w:rFonts w:hint="eastAsia" w:ascii="仿宋_GB2312" w:hAnsi="Times New Roman" w:eastAsia="仿宋_GB2312"/>
          <w:color w:val="000000" w:themeColor="text1"/>
          <w:sz w:val="30"/>
          <w:szCs w:val="30"/>
          <w:lang w:eastAsia="zh-CN"/>
          <w14:textFill>
            <w14:solidFill>
              <w14:schemeClr w14:val="tx1"/>
            </w14:solidFill>
          </w14:textFill>
        </w:rPr>
        <w:t>名称</w:t>
      </w:r>
      <w:r>
        <w:rPr>
          <w:rFonts w:hint="eastAsia" w:ascii="仿宋_GB2312" w:hAnsi="Times New Roman" w:eastAsia="仿宋_GB2312"/>
          <w:color w:val="000000" w:themeColor="text1"/>
          <w:sz w:val="30"/>
          <w:szCs w:val="30"/>
          <w14:textFill>
            <w14:solidFill>
              <w14:schemeClr w14:val="tx1"/>
            </w14:solidFill>
          </w14:textFill>
        </w:rPr>
        <w:t>（如有）。</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3.涉及发行人律师核查事项的，请在律师工作报告中说明对相关问题的核查情况，并在《自查表》“核查要求落实情况”中填写相关适用事项在律师工作报告中的章节（如有）。</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4.涉及申报会计师核查事项的，申报会计师应出具专项核查报告，说明对相关问题的核查情况，并在《自查表》“核查要求落实情况”中填写相关适用事项在会计师专项核查报告中的章节（如有）。</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5.相关事项注明为【科创板】的，适用于科创板再融资申报企业，注明为【主板】的，适用于主板再融资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6</w:t>
      </w:r>
      <w:r>
        <w:rPr>
          <w:rFonts w:hint="eastAsia" w:ascii="仿宋_GB2312" w:hAnsi="Times New Roman" w:eastAsia="仿宋_GB2312"/>
          <w:color w:val="000000" w:themeColor="text1"/>
          <w:sz w:val="30"/>
          <w:szCs w:val="30"/>
          <w14:textFill>
            <w14:solidFill>
              <w14:schemeClr w14:val="tx1"/>
            </w14:solidFill>
          </w14:textFill>
        </w:rPr>
        <w:t>.请保荐人在审核系统提交首次申报材料时或受理后3个工作日内将《自查表》及相关核查报告提交，属于上市公司发行优先股申请文件的，《自查表》填报目录为5-19-4，会计师专项核查报告填报目录为5-19-5；属于发行其他类型证券申请文件的，《自查表》填报目录为6-22-3，会计师专项核查报告填报目录为6-22-4，并采用可编辑的word格式。</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7</w:t>
      </w:r>
      <w:r>
        <w:rPr>
          <w:rFonts w:hint="eastAsia" w:ascii="仿宋_GB2312" w:hAnsi="Times New Roman" w:eastAsia="仿宋_GB2312"/>
          <w:color w:val="000000" w:themeColor="text1"/>
          <w:sz w:val="30"/>
          <w:szCs w:val="30"/>
          <w14:textFill>
            <w14:solidFill>
              <w14:schemeClr w14:val="tx1"/>
            </w14:solidFill>
          </w14:textFill>
        </w:rPr>
        <w:t>.《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8</w:t>
      </w:r>
      <w:r>
        <w:rPr>
          <w:rFonts w:hint="eastAsia" w:ascii="仿宋_GB2312" w:hAnsi="Times New Roman" w:eastAsia="仿宋_GB2312"/>
          <w:color w:val="000000" w:themeColor="text1"/>
          <w:sz w:val="30"/>
          <w:szCs w:val="30"/>
          <w14:textFill>
            <w14:solidFill>
              <w14:schemeClr w14:val="tx1"/>
            </w14:solidFill>
          </w14:textFill>
        </w:rPr>
        <w:t>.《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pPr>
        <w:spacing w:line="600" w:lineRule="exact"/>
        <w:ind w:firstLine="600" w:firstLineChars="200"/>
        <w:rPr>
          <w:rFonts w:hint="eastAsia"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9</w:t>
      </w:r>
      <w:r>
        <w:rPr>
          <w:rFonts w:hint="eastAsia" w:ascii="仿宋_GB2312" w:hAnsi="Times New Roman" w:eastAsia="仿宋_GB2312"/>
          <w:color w:val="000000" w:themeColor="text1"/>
          <w:sz w:val="30"/>
          <w:szCs w:val="30"/>
          <w14:textFill>
            <w14:solidFill>
              <w14:schemeClr w14:val="tx1"/>
            </w14:solidFill>
          </w14:textFill>
        </w:rPr>
        <w:t>.在审企业更新财务资料时，应同步更新保荐工作报告、律师工作报告、会计师专项核查报告中与《自查表》相关的内容。</w:t>
      </w:r>
    </w:p>
    <w:p>
      <w:pPr>
        <w:spacing w:line="600" w:lineRule="exact"/>
        <w:ind w:firstLine="600" w:firstLineChars="200"/>
        <w:rPr>
          <w:rFonts w:hint="default" w:ascii="仿宋_GB2312" w:hAnsi="Times New Roman" w:eastAsia="仿宋_GB2312"/>
          <w:color w:val="000000" w:themeColor="text1"/>
          <w:sz w:val="30"/>
          <w:szCs w:val="30"/>
          <w:lang w:val="en-US" w:eastAsia="zh-CN"/>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10.</w:t>
      </w:r>
      <w:r>
        <w:rPr>
          <w:rFonts w:hint="eastAsia" w:ascii="仿宋_GB2312" w:hAnsi="Times New Roman" w:eastAsia="仿宋_GB2312"/>
          <w:color w:val="000000" w:themeColor="text1"/>
          <w:sz w:val="30"/>
          <w:szCs w:val="30"/>
          <w:highlight w:val="none"/>
          <w:lang w:val="en-US" w:eastAsia="zh-CN"/>
          <w14:textFill>
            <w14:solidFill>
              <w14:schemeClr w14:val="tx1"/>
            </w14:solidFill>
          </w14:textFill>
        </w:rPr>
        <w:t>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上市公司证券发行上市审核规则》等有关规定，终止发行上市审核。《自查表》的填报质量将作为中介机构执业质量评价的参考依据。</w:t>
      </w:r>
    </w:p>
    <w:p>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本所将根据相关规定的修订，动态更新《自查表》。中介机构填写《自查表》过程中，如有任何疑问或完善建议，可通过电子邮件等方式向本所咨询或反映诉求。Email：</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"mailto:shzx@sse.com.cn" </w:instrText>
      </w:r>
      <w:r>
        <w:rPr>
          <w:color w:val="000000" w:themeColor="text1"/>
          <w14:textFill>
            <w14:solidFill>
              <w14:schemeClr w14:val="tx1"/>
            </w14:solidFill>
          </w14:textFill>
        </w:rPr>
        <w:fldChar w:fldCharType="separate"/>
      </w:r>
      <w:r>
        <w:rPr>
          <w:rStyle w:val="15"/>
          <w:rFonts w:hint="eastAsia" w:ascii="仿宋_GB2312" w:hAnsi="Times New Roman" w:eastAsia="仿宋_GB2312"/>
          <w:color w:val="000000" w:themeColor="text1"/>
          <w:sz w:val="30"/>
          <w:szCs w:val="30"/>
          <w:u w:val="none"/>
          <w14:textFill>
            <w14:solidFill>
              <w14:schemeClr w14:val="tx1"/>
            </w14:solidFill>
          </w14:textFill>
        </w:rPr>
        <w:t>shzx@sse.com.cn</w:t>
      </w:r>
      <w:r>
        <w:rPr>
          <w:rStyle w:val="15"/>
          <w:rFonts w:hint="eastAsia" w:ascii="仿宋_GB2312" w:hAnsi="Times New Roman" w:eastAsia="仿宋_GB2312"/>
          <w:color w:val="000000" w:themeColor="text1"/>
          <w:sz w:val="30"/>
          <w:szCs w:val="30"/>
          <w:u w:val="none"/>
          <w14:textFill>
            <w14:solidFill>
              <w14:schemeClr w14:val="tx1"/>
            </w14:solidFill>
          </w14:textFill>
        </w:rPr>
        <w:fldChar w:fldCharType="end"/>
      </w:r>
    </w:p>
    <w:p>
      <w:pPr>
        <w:adjustRightInd w:val="0"/>
        <w:snapToGrid w:val="0"/>
        <w:spacing w:line="600" w:lineRule="exact"/>
        <w:ind w:firstLine="452" w:firstLineChars="15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二、核查及披露要求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434"/>
        <w:gridCol w:w="4738"/>
        <w:gridCol w:w="4441"/>
        <w:gridCol w:w="2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54" w:type="dxa"/>
            <w:gridSpan w:val="5"/>
            <w:shd w:val="clear" w:color="auto" w:fill="8DB3E2"/>
            <w:vAlign w:val="center"/>
          </w:tcPr>
          <w:p>
            <w:pPr>
              <w:adjustRightInd w:val="0"/>
              <w:snapToGrid w:val="0"/>
              <w:jc w:val="center"/>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一、关于募集资金运用的相关问题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0" w:type="dxa"/>
            <w:vAlign w:val="center"/>
          </w:tcPr>
          <w:p>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序号</w:t>
            </w:r>
          </w:p>
        </w:tc>
        <w:tc>
          <w:tcPr>
            <w:tcW w:w="1434" w:type="dxa"/>
            <w:vAlign w:val="center"/>
          </w:tcPr>
          <w:p>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问题</w:t>
            </w:r>
          </w:p>
        </w:tc>
        <w:tc>
          <w:tcPr>
            <w:tcW w:w="4738" w:type="dxa"/>
            <w:vAlign w:val="center"/>
          </w:tcPr>
          <w:p>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披露要求</w:t>
            </w:r>
          </w:p>
        </w:tc>
        <w:tc>
          <w:tcPr>
            <w:tcW w:w="4441" w:type="dxa"/>
            <w:vAlign w:val="center"/>
          </w:tcPr>
          <w:p>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核查要求</w:t>
            </w:r>
          </w:p>
        </w:tc>
        <w:tc>
          <w:tcPr>
            <w:tcW w:w="2641" w:type="dxa"/>
            <w:vAlign w:val="center"/>
          </w:tcPr>
          <w:p>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参考规范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w:t>
            </w:r>
          </w:p>
        </w:tc>
        <w:tc>
          <w:tcPr>
            <w:tcW w:w="1434" w:type="dxa"/>
            <w:vAlign w:val="center"/>
          </w:tcPr>
          <w:p>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历次募集资金使用情况</w:t>
            </w:r>
          </w:p>
        </w:tc>
        <w:tc>
          <w:tcPr>
            <w:tcW w:w="4738" w:type="dxa"/>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发行人应披露：</w:t>
            </w:r>
          </w:p>
          <w:p>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（1）最近五年内募集资金运用的基本情况，包括实际募集资金金额、募投项目及其变更情况、资金投入进度及效益等；</w:t>
            </w:r>
          </w:p>
          <w:p>
            <w:pPr>
              <w:pStyle w:val="44"/>
              <w:numPr>
                <w:ilvl w:val="-1"/>
                <w:numId w:val="0"/>
              </w:num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（2）前次募集资金用途发生变更或项目延期的，发行人应披露</w:t>
            </w:r>
            <w:r>
              <w:rPr>
                <w:rFonts w:hint="eastAsia" w:ascii="仿宋_GB2312" w:hAnsi="仿宋_GB2312" w:eastAsia="仿宋_GB2312" w:cs="仿宋_GB2312"/>
                <w:color w:val="000000" w:themeColor="text1"/>
                <w:highlight w:val="none"/>
                <w:lang w:val="en-US"/>
                <w14:textFill>
                  <w14:solidFill>
                    <w14:schemeClr w14:val="tx1"/>
                  </w14:solidFill>
                </w14:textFill>
              </w:rPr>
              <w:t>原因</w:t>
            </w:r>
            <w:r>
              <w:rPr>
                <w:rFonts w:hint="eastAsia" w:ascii="仿宋_GB2312" w:hAnsi="仿宋_GB2312" w:eastAsia="仿宋_GB2312" w:cs="仿宋_GB2312"/>
                <w:color w:val="000000" w:themeColor="text1"/>
                <w:highlight w:val="none"/>
                <w14:textFill>
                  <w14:solidFill>
                    <w14:schemeClr w14:val="tx1"/>
                  </w14:solidFill>
                </w14:textFill>
              </w:rPr>
              <w:t>、内容、履行的决策程序及其实施进展和效益。科创板上市公司还应分析变更后募投项目是否属于科技创新领域；</w:t>
            </w:r>
          </w:p>
          <w:p>
            <w:pPr>
              <w:numPr>
                <w:ilvl w:val="0"/>
                <w:numId w:val="0"/>
              </w:numPr>
              <w:snapToGrid w:val="0"/>
              <w:jc w:val="both"/>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lang w:val="en-US" w:eastAsia="zh-CN"/>
                <w14:textFill>
                  <w14:solidFill>
                    <w14:schemeClr w14:val="tx1"/>
                  </w14:solidFill>
                </w14:textFill>
              </w:rPr>
              <w:t>3</w:t>
            </w:r>
            <w:r>
              <w:rPr>
                <w:rFonts w:hint="eastAsia" w:ascii="Times New Roman" w:hAnsi="Times New Roman" w:eastAsia="仿宋_GB2312"/>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14:textFill>
                  <w14:solidFill>
                    <w14:schemeClr w14:val="tx1"/>
                  </w14:solidFill>
                </w14:textFill>
              </w:rPr>
              <w:t>如果超过五年的前次募集资金</w:t>
            </w:r>
            <w:r>
              <w:rPr>
                <w:rFonts w:hint="eastAsia" w:eastAsia="仿宋_GB2312"/>
                <w:color w:val="000000" w:themeColor="text1"/>
                <w:kern w:val="0"/>
                <w:sz w:val="24"/>
                <w:lang w:eastAsia="zh-CN"/>
                <w14:textFill>
                  <w14:solidFill>
                    <w14:schemeClr w14:val="tx1"/>
                  </w14:solidFill>
                </w14:textFill>
              </w:rPr>
              <w:t>（含</w:t>
            </w:r>
            <w:r>
              <w:rPr>
                <w:rFonts w:hint="eastAsia" w:eastAsia="仿宋_GB2312"/>
                <w:color w:val="000000" w:themeColor="text1"/>
                <w:kern w:val="0"/>
                <w:sz w:val="24"/>
                <w:lang w:val="en-US" w:eastAsia="zh-CN"/>
                <w14:textFill>
                  <w14:solidFill>
                    <w14:schemeClr w14:val="tx1"/>
                  </w14:solidFill>
                </w14:textFill>
              </w:rPr>
              <w:t>IPO及以后的历次融资</w:t>
            </w:r>
            <w:r>
              <w:rPr>
                <w:rFonts w:hint="eastAsia" w:eastAsia="仿宋_GB2312"/>
                <w:color w:val="000000" w:themeColor="text1"/>
                <w:kern w:val="0"/>
                <w:sz w:val="24"/>
                <w:lang w:eastAsia="zh-CN"/>
                <w14:textFill>
                  <w14:solidFill>
                    <w14:schemeClr w14:val="tx1"/>
                  </w14:solidFill>
                </w14:textFill>
              </w:rPr>
              <w:t>）用途</w:t>
            </w:r>
            <w:r>
              <w:rPr>
                <w:rFonts w:hint="eastAsia" w:ascii="Times New Roman" w:hAnsi="Times New Roman" w:eastAsia="仿宋_GB2312"/>
                <w:color w:val="000000" w:themeColor="text1"/>
                <w:kern w:val="0"/>
                <w:sz w:val="24"/>
                <w14:textFill>
                  <w14:solidFill>
                    <w14:schemeClr w14:val="tx1"/>
                  </w14:solidFill>
                </w14:textFill>
              </w:rPr>
              <w:t>存在变更</w:t>
            </w:r>
            <w:r>
              <w:rPr>
                <w:rFonts w:hint="eastAsia" w:eastAsia="仿宋_GB2312"/>
                <w:color w:val="000000" w:themeColor="text1"/>
                <w:kern w:val="0"/>
                <w:sz w:val="24"/>
                <w:lang w:eastAsia="zh-CN"/>
                <w14:textFill>
                  <w14:solidFill>
                    <w14:schemeClr w14:val="tx1"/>
                  </w14:solidFill>
                </w14:textFill>
              </w:rPr>
              <w:t>的</w:t>
            </w:r>
            <w:r>
              <w:rPr>
                <w:rFonts w:hint="eastAsia" w:ascii="Times New Roman" w:hAnsi="Times New Roman" w:eastAsia="仿宋_GB2312"/>
                <w:color w:val="000000" w:themeColor="text1"/>
                <w:kern w:val="0"/>
                <w:sz w:val="24"/>
                <w14:textFill>
                  <w14:solidFill>
                    <w14:schemeClr w14:val="tx1"/>
                  </w14:solidFill>
                </w14:textFill>
              </w:rPr>
              <w:t>，应在募集说明书中披露</w:t>
            </w:r>
            <w:r>
              <w:rPr>
                <w:rFonts w:hint="eastAsia" w:eastAsia="仿宋_GB2312"/>
                <w:color w:val="000000" w:themeColor="text1"/>
                <w:kern w:val="0"/>
                <w:sz w:val="24"/>
                <w:lang w:eastAsia="zh-CN"/>
                <w14:textFill>
                  <w14:solidFill>
                    <w14:schemeClr w14:val="tx1"/>
                  </w14:solidFill>
                </w14:textFill>
              </w:rPr>
              <w:t>变更</w:t>
            </w:r>
            <w:r>
              <w:rPr>
                <w:rFonts w:hint="eastAsia" w:ascii="Times New Roman" w:hAnsi="Times New Roman" w:eastAsia="仿宋_GB2312"/>
                <w:color w:val="000000" w:themeColor="text1"/>
                <w:kern w:val="0"/>
                <w:sz w:val="24"/>
                <w14:textFill>
                  <w14:solidFill>
                    <w14:schemeClr w14:val="tx1"/>
                  </w14:solidFill>
                </w14:textFill>
              </w:rPr>
              <w:t>募集资金</w:t>
            </w:r>
            <w:r>
              <w:rPr>
                <w:rFonts w:hint="eastAsia" w:eastAsia="仿宋_GB2312"/>
                <w:color w:val="000000" w:themeColor="text1"/>
                <w:kern w:val="0"/>
                <w:sz w:val="24"/>
                <w:lang w:eastAsia="zh-CN"/>
                <w14:textFill>
                  <w14:solidFill>
                    <w14:schemeClr w14:val="tx1"/>
                  </w14:solidFill>
                </w14:textFill>
              </w:rPr>
              <w:t>用途所履行的程序；</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）科创板上市公司应披露前次募集资金使用对发行人科技创新的作用；</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）发行人应披露会计师事务所对前次募集资金运用所出具的报告结论。</w:t>
            </w:r>
          </w:p>
        </w:tc>
        <w:tc>
          <w:tcPr>
            <w:tcW w:w="4441" w:type="dxa"/>
          </w:tcPr>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对上述事项进行核查，说明：（1）历次募投项目的进展是否符合预期，募集资金投入使用进度与项目建设进度是否匹配，募投项目的实施环境是否发生了重大不利变化，是否对本次募投项目的实施存在重大不利影响；历次募投项目的实际效益是否符合预期，对于明显低于预期效益的说明原因及合理性；（2）</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本次</w:t>
            </w:r>
            <w:r>
              <w:rPr>
                <w:rFonts w:hint="eastAsia" w:ascii="仿宋_GB2312" w:hAnsi="仿宋_GB2312" w:eastAsia="仿宋_GB2312" w:cs="仿宋_GB2312"/>
                <w:color w:val="000000" w:themeColor="text1"/>
                <w:kern w:val="0"/>
                <w:sz w:val="24"/>
                <w:highlight w:val="none"/>
                <w14:textFill>
                  <w14:solidFill>
                    <w14:schemeClr w14:val="tx1"/>
                  </w14:solidFill>
                </w14:textFill>
              </w:rPr>
              <w:t>再融资预案董事会召开时，</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highlight w:val="none"/>
                <w14:textFill>
                  <w14:solidFill>
                    <w14:schemeClr w14:val="tx1"/>
                  </w14:solidFill>
                </w14:textFill>
              </w:rPr>
              <w:t>募集资金</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使用进度，</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是否</w:t>
            </w:r>
            <w:r>
              <w:rPr>
                <w:rFonts w:hint="eastAsia" w:ascii="仿宋_GB2312" w:hAnsi="仿宋_GB2312" w:eastAsia="仿宋_GB2312" w:cs="仿宋_GB2312"/>
                <w:color w:val="000000" w:themeColor="text1"/>
                <w:kern w:val="0"/>
                <w:sz w:val="24"/>
                <w:highlight w:val="none"/>
                <w14:textFill>
                  <w14:solidFill>
                    <w14:schemeClr w14:val="tx1"/>
                  </w14:solidFill>
                </w14:textFill>
              </w:rPr>
              <w:t>基本使用完毕</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highlight w:val="none"/>
                <w14:textFill>
                  <w14:solidFill>
                    <w14:schemeClr w14:val="tx1"/>
                  </w14:solidFill>
                </w14:textFill>
              </w:rPr>
              <w:t>募投项目实施后是否有利于提升公司资产质量、营运能力、盈利能力等相关情况</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kern w:val="0"/>
                <w:sz w:val="24"/>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14:textFill>
                  <w14:solidFill>
                    <w14:schemeClr w14:val="tx1"/>
                  </w14:solidFill>
                </w14:textFill>
              </w:rPr>
              <w:t>募投项目或募集资金用途发生</w:t>
            </w:r>
            <w:r>
              <w:rPr>
                <w:rFonts w:hint="eastAsia" w:ascii="仿宋_GB2312" w:hAnsi="仿宋_GB2312" w:eastAsia="仿宋_GB2312" w:cs="仿宋_GB2312"/>
                <w:color w:val="000000" w:themeColor="text1"/>
                <w:kern w:val="0"/>
                <w:sz w:val="24"/>
                <w:lang w:eastAsia="zh-CN"/>
                <w14:textFill>
                  <w14:solidFill>
                    <w14:schemeClr w14:val="tx1"/>
                  </w14:solidFill>
                </w14:textFill>
              </w:rPr>
              <w:t>延期、</w:t>
            </w:r>
            <w:r>
              <w:rPr>
                <w:rFonts w:hint="eastAsia" w:ascii="仿宋_GB2312" w:hAnsi="仿宋_GB2312" w:eastAsia="仿宋_GB2312" w:cs="仿宋_GB2312"/>
                <w:color w:val="000000" w:themeColor="text1"/>
                <w:kern w:val="0"/>
                <w:sz w:val="24"/>
                <w14:textFill>
                  <w14:solidFill>
                    <w14:schemeClr w14:val="tx1"/>
                  </w14:solidFill>
                </w14:textFill>
              </w:rPr>
              <w:t>变更</w:t>
            </w:r>
            <w:r>
              <w:rPr>
                <w:rFonts w:hint="eastAsia" w:ascii="仿宋_GB2312" w:hAnsi="仿宋_GB2312" w:eastAsia="仿宋_GB2312" w:cs="仿宋_GB2312"/>
                <w:color w:val="000000" w:themeColor="text1"/>
                <w:kern w:val="0"/>
                <w:sz w:val="24"/>
                <w:lang w:eastAsia="zh-CN"/>
                <w14:textFill>
                  <w14:solidFill>
                    <w14:schemeClr w14:val="tx1"/>
                  </w14:solidFill>
                </w14:textFill>
              </w:rPr>
              <w:t>、取消</w:t>
            </w:r>
            <w:r>
              <w:rPr>
                <w:rFonts w:hint="eastAsia" w:ascii="仿宋_GB2312" w:hAnsi="仿宋_GB2312" w:eastAsia="仿宋_GB2312" w:cs="仿宋_GB2312"/>
                <w:color w:val="000000" w:themeColor="text1"/>
                <w:kern w:val="0"/>
                <w:sz w:val="24"/>
                <w14:textFill>
                  <w14:solidFill>
                    <w14:schemeClr w14:val="tx1"/>
                  </w14:solidFill>
                </w14:textFill>
              </w:rPr>
              <w:t>的，</w:t>
            </w:r>
            <w:r>
              <w:rPr>
                <w:rFonts w:hint="eastAsia" w:ascii="仿宋_GB2312" w:hAnsi="仿宋_GB2312" w:eastAsia="仿宋_GB2312" w:cs="仿宋_GB2312"/>
                <w:color w:val="000000" w:themeColor="text1"/>
                <w:kern w:val="0"/>
                <w:sz w:val="24"/>
                <w:lang w:eastAsia="zh-CN"/>
                <w14:textFill>
                  <w14:solidFill>
                    <w14:schemeClr w14:val="tx1"/>
                  </w14:solidFill>
                </w14:textFill>
              </w:rPr>
              <w:t>说明原因及合理性，履行的决策程序，</w:t>
            </w:r>
            <w:r>
              <w:rPr>
                <w:rFonts w:hint="eastAsia" w:ascii="仿宋_GB2312" w:hAnsi="仿宋_GB2312" w:eastAsia="仿宋_GB2312" w:cs="仿宋_GB2312"/>
                <w:bCs/>
                <w:color w:val="000000" w:themeColor="text1"/>
                <w:kern w:val="0"/>
                <w:sz w:val="24"/>
                <w:szCs w:val="24"/>
                <w14:textFill>
                  <w14:solidFill>
                    <w14:schemeClr w14:val="tx1"/>
                  </w14:solidFill>
                </w14:textFill>
              </w:rPr>
              <w:t>变更前后非资本性支出占比情况，</w:t>
            </w:r>
            <w:r>
              <w:rPr>
                <w:rFonts w:hint="eastAsia" w:ascii="仿宋_GB2312" w:hAnsi="仿宋_GB2312" w:eastAsia="仿宋_GB2312" w:cs="仿宋_GB2312"/>
                <w:color w:val="000000" w:themeColor="text1"/>
                <w:kern w:val="0"/>
                <w:sz w:val="24"/>
                <w14:textFill>
                  <w14:solidFill>
                    <w14:schemeClr w14:val="tx1"/>
                  </w14:solidFill>
                </w14:textFill>
              </w:rPr>
              <w:t>变更后募投项目的实施进展及效益情况</w:t>
            </w:r>
            <w:r>
              <w:rPr>
                <w:rFonts w:hint="eastAsia" w:ascii="仿宋_GB2312" w:hAnsi="仿宋_GB2312" w:eastAsia="仿宋_GB2312" w:cs="仿宋_GB2312"/>
                <w:color w:val="000000" w:themeColor="text1"/>
                <w:kern w:val="0"/>
                <w:sz w:val="24"/>
                <w:lang w:eastAsia="zh-CN"/>
                <w14:textFill>
                  <w14:solidFill>
                    <w14:schemeClr w14:val="tx1"/>
                  </w14:solidFill>
                </w14:textFill>
              </w:rPr>
              <w:t>，是否</w:t>
            </w:r>
            <w:r>
              <w:rPr>
                <w:rFonts w:hint="eastAsia" w:ascii="仿宋_GB2312" w:hAnsi="仿宋_GB2312" w:eastAsia="仿宋_GB2312" w:cs="仿宋_GB2312"/>
                <w:color w:val="000000" w:themeColor="text1"/>
                <w:kern w:val="0"/>
                <w:sz w:val="24"/>
                <w14:textFill>
                  <w14:solidFill>
                    <w14:schemeClr w14:val="tx1"/>
                  </w14:solidFill>
                </w14:textFill>
              </w:rPr>
              <w:t>履行了</w:t>
            </w:r>
            <w:r>
              <w:rPr>
                <w:rFonts w:hint="eastAsia" w:ascii="仿宋_GB2312" w:hAnsi="仿宋_GB2312" w:eastAsia="仿宋_GB2312" w:cs="仿宋_GB2312"/>
                <w:color w:val="000000" w:themeColor="text1"/>
                <w:kern w:val="0"/>
                <w:sz w:val="24"/>
                <w:lang w:eastAsia="zh-CN"/>
                <w14:textFill>
                  <w14:solidFill>
                    <w14:schemeClr w14:val="tx1"/>
                  </w14:solidFill>
                </w14:textFill>
              </w:rPr>
              <w:t>相应的</w:t>
            </w:r>
            <w:r>
              <w:rPr>
                <w:rFonts w:hint="eastAsia" w:ascii="仿宋_GB2312" w:hAnsi="仿宋_GB2312" w:eastAsia="仿宋_GB2312" w:cs="仿宋_GB2312"/>
                <w:color w:val="000000" w:themeColor="text1"/>
                <w:kern w:val="0"/>
                <w:sz w:val="24"/>
                <w14:textFill>
                  <w14:solidFill>
                    <w14:schemeClr w14:val="tx1"/>
                  </w14:solidFill>
                </w14:textFill>
              </w:rPr>
              <w:t>信息披露义务；</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highlight w:val="none"/>
                <w14:textFill>
                  <w14:solidFill>
                    <w14:schemeClr w14:val="tx1"/>
                  </w14:solidFill>
                </w14:textFill>
              </w:rPr>
              <w:t>）</w:t>
            </w:r>
            <w:r>
              <w:rPr>
                <w:rFonts w:ascii="Times New Roman" w:hAnsi="Times New Roman" w:eastAsia="仿宋_GB2312"/>
                <w:color w:val="000000" w:themeColor="text1"/>
                <w:kern w:val="0"/>
                <w:sz w:val="24"/>
                <w:lang w:val="en-US" w:eastAsia="zh-CN"/>
                <w14:textFill>
                  <w14:solidFill>
                    <w14:schemeClr w14:val="tx1"/>
                  </w14:solidFill>
                </w14:textFill>
              </w:rPr>
              <w:t>对于超过五年的前次募集资金</w:t>
            </w:r>
            <w:r>
              <w:rPr>
                <w:rFonts w:hint="eastAsia" w:eastAsia="仿宋_GB2312"/>
                <w:color w:val="000000" w:themeColor="text1"/>
                <w:kern w:val="0"/>
                <w:sz w:val="24"/>
                <w:lang w:val="en-US" w:eastAsia="zh-CN"/>
                <w14:textFill>
                  <w14:solidFill>
                    <w14:schemeClr w14:val="tx1"/>
                  </w14:solidFill>
                </w14:textFill>
              </w:rPr>
              <w:t>用途存在</w:t>
            </w:r>
            <w:r>
              <w:rPr>
                <w:rFonts w:ascii="Times New Roman" w:hAnsi="Times New Roman" w:eastAsia="仿宋_GB2312"/>
                <w:color w:val="000000" w:themeColor="text1"/>
                <w:kern w:val="0"/>
                <w:sz w:val="24"/>
                <w:lang w:val="en-US" w:eastAsia="zh-CN"/>
                <w14:textFill>
                  <w14:solidFill>
                    <w14:schemeClr w14:val="tx1"/>
                  </w14:solidFill>
                </w14:textFill>
              </w:rPr>
              <w:t>变更</w:t>
            </w:r>
            <w:r>
              <w:rPr>
                <w:rFonts w:hint="eastAsia" w:eastAsia="仿宋_GB2312"/>
                <w:color w:val="000000" w:themeColor="text1"/>
                <w:kern w:val="0"/>
                <w:sz w:val="24"/>
                <w:lang w:val="en-US" w:eastAsia="zh-CN"/>
                <w14:textFill>
                  <w14:solidFill>
                    <w14:schemeClr w14:val="tx1"/>
                  </w14:solidFill>
                </w14:textFill>
              </w:rPr>
              <w:t>的</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在《</w:t>
            </w:r>
            <w:r>
              <w:rPr>
                <w:rFonts w:hint="eastAsia" w:ascii="仿宋_GB2312" w:hAnsi="仿宋_GB2312" w:eastAsia="仿宋_GB2312" w:cs="仿宋_GB2312"/>
                <w:bCs/>
                <w:color w:val="000000" w:themeColor="text1"/>
                <w:kern w:val="0"/>
                <w:sz w:val="24"/>
                <w:szCs w:val="24"/>
                <w14:textFill>
                  <w14:solidFill>
                    <w14:schemeClr w14:val="tx1"/>
                  </w14:solidFill>
                </w14:textFill>
              </w:rPr>
              <w:t>发行保荐工作报告</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》中说明</w:t>
            </w:r>
            <w:r>
              <w:rPr>
                <w:rFonts w:hint="eastAsia" w:ascii="仿宋_GB2312" w:hAnsi="仿宋_GB2312" w:eastAsia="仿宋_GB2312" w:cs="仿宋_GB2312"/>
                <w:bCs/>
                <w:color w:val="000000" w:themeColor="text1"/>
                <w:highlight w:val="none"/>
                <w14:textFill>
                  <w14:solidFill>
                    <w14:schemeClr w14:val="tx1"/>
                  </w14:solidFill>
                </w14:textFill>
              </w:rPr>
              <w:t>发行人是否符合前</w:t>
            </w:r>
            <w:r>
              <w:rPr>
                <w:rFonts w:hint="eastAsia" w:ascii="仿宋_GB2312" w:hAnsi="仿宋_GB2312" w:eastAsia="仿宋_GB2312" w:cs="仿宋_GB2312"/>
                <w:bCs/>
                <w:color w:val="000000" w:themeColor="text1"/>
                <w:highlight w:val="none"/>
                <w:lang w:eastAsia="zh-CN"/>
                <w14:textFill>
                  <w14:solidFill>
                    <w14:schemeClr w14:val="tx1"/>
                  </w14:solidFill>
                </w14:textFill>
              </w:rPr>
              <w:t>次</w:t>
            </w:r>
            <w:r>
              <w:rPr>
                <w:rFonts w:hint="eastAsia" w:ascii="仿宋_GB2312" w:hAnsi="仿宋_GB2312" w:eastAsia="仿宋_GB2312" w:cs="仿宋_GB2312"/>
                <w:bCs/>
                <w:color w:val="000000" w:themeColor="text1"/>
                <w:highlight w:val="none"/>
                <w14:textFill>
                  <w14:solidFill>
                    <w14:schemeClr w14:val="tx1"/>
                  </w14:solidFill>
                </w14:textFill>
              </w:rPr>
              <w:t>募资金变更的相关监管要求；（</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highlight w:val="none"/>
                <w14:textFill>
                  <w14:solidFill>
                    <w14:schemeClr w14:val="tx1"/>
                  </w14:solidFill>
                </w14:textFill>
              </w:rPr>
              <w:t>）尚未使用的历次募集资金是否有明确的后续使用计划，</w:t>
            </w:r>
            <w:r>
              <w:rPr>
                <w:rFonts w:hint="eastAsia" w:ascii="仿宋_GB2312" w:hAnsi="仿宋_GB2312" w:eastAsia="仿宋_GB2312" w:cs="仿宋_GB2312"/>
                <w:color w:val="000000" w:themeColor="text1"/>
                <w:sz w:val="24"/>
                <w:szCs w:val="24"/>
                <w:lang w:val="en-US" w:eastAsia="zh-CN" w:bidi="ar"/>
                <w14:textFill>
                  <w14:solidFill>
                    <w14:schemeClr w14:val="tx1"/>
                  </w14:solidFill>
                </w14:textFill>
              </w:rPr>
              <w:t>对于尚未使用完毕的前次募集资金应督促发行人出具承诺按照计划投入，</w:t>
            </w:r>
            <w:r>
              <w:rPr>
                <w:rFonts w:hint="eastAsia" w:ascii="仿宋_GB2312" w:hAnsi="仿宋_GB2312" w:eastAsia="仿宋_GB2312" w:cs="仿宋_GB2312"/>
                <w:bCs/>
                <w:color w:val="000000" w:themeColor="text1"/>
                <w:highlight w:val="none"/>
                <w14:textFill>
                  <w14:solidFill>
                    <w14:schemeClr w14:val="tx1"/>
                  </w14:solidFill>
                </w14:textFill>
              </w:rPr>
              <w:t>并结合公司业务发展中对资金的实际需求，说明本次发行募集资金规模的合理性。此外，督促发行人对历次募集资金的使用或变更履行内部审批流程和信息披露义务，同时在《发行保荐工作报告》中发表明确意见。</w:t>
            </w:r>
          </w:p>
          <w:p>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会计师应当以积极方式对前次募集资金使用情况报告是否已经按照《监管规则适用指引——发行类第7号》第六条相关规定编制，以及是否如实反映了上市公司前次募集资金使用情况发表鉴证意见。</w:t>
            </w:r>
          </w:p>
        </w:tc>
        <w:tc>
          <w:tcPr>
            <w:tcW w:w="2641" w:type="dxa"/>
          </w:tcPr>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公开发行证券的公司信息披露内容与格式准则第61号——上市公司向特定对象发行证券募集说明书和发行情况报告书》（以下简称《募集说明书格式准则》）第二十三条，《监管规则适用指引——发行类第7号》第六条</w:t>
            </w:r>
          </w:p>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6" w:hRule="atLeast"/>
        </w:trPr>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w:t>
            </w:r>
          </w:p>
        </w:tc>
        <w:tc>
          <w:tcPr>
            <w:tcW w:w="1434" w:type="dxa"/>
            <w:vAlign w:val="center"/>
          </w:tcPr>
          <w:p>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融资间隔</w:t>
            </w:r>
          </w:p>
        </w:tc>
        <w:tc>
          <w:tcPr>
            <w:tcW w:w="4738" w:type="dxa"/>
          </w:tcPr>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r>
              <w:rPr>
                <w:rFonts w:hint="eastAsia" w:ascii="仿宋_GB2312" w:hAnsi="仿宋_GB2312" w:eastAsia="仿宋_GB2312" w:cs="仿宋_GB2312"/>
                <w:color w:val="000000" w:themeColor="text1"/>
                <w:spacing w:val="-2"/>
                <w:highlight w:val="none"/>
                <w:lang w:eastAsia="zh-CN"/>
                <w14:textFill>
                  <w14:solidFill>
                    <w14:schemeClr w14:val="tx1"/>
                  </w14:solidFill>
                </w14:textFill>
              </w:rPr>
              <w:t>本次发行的背景和目的，</w:t>
            </w:r>
            <w:r>
              <w:rPr>
                <w:rFonts w:hint="eastAsia" w:ascii="仿宋_GB2312" w:hAnsi="仿宋_GB2312" w:eastAsia="仿宋_GB2312" w:cs="仿宋_GB2312"/>
                <w:color w:val="000000" w:themeColor="text1"/>
                <w:highlight w:val="none"/>
                <w14:textFill>
                  <w14:solidFill>
                    <w14:schemeClr w14:val="tx1"/>
                  </w14:solidFill>
                </w14:textFill>
              </w:rPr>
              <w:t>本次证券发行数量、融资间隔、募集资金金额及投向</w:t>
            </w:r>
            <w:r>
              <w:rPr>
                <w:rFonts w:hint="eastAsia" w:ascii="仿宋_GB2312" w:hAnsi="仿宋_GB2312" w:eastAsia="仿宋_GB2312" w:cs="仿宋_GB2312"/>
                <w:color w:val="000000" w:themeColor="text1"/>
                <w:highlight w:val="none"/>
                <w:lang w:eastAsia="zh-CN"/>
                <w14:textFill>
                  <w14:solidFill>
                    <w14:schemeClr w14:val="tx1"/>
                  </w14:solidFill>
                </w14:textFill>
              </w:rPr>
              <w:t>等</w:t>
            </w:r>
            <w:r>
              <w:rPr>
                <w:rFonts w:hint="eastAsia" w:ascii="仿宋_GB2312" w:hAnsi="仿宋_GB2312" w:eastAsia="仿宋_GB2312" w:cs="仿宋_GB2312"/>
                <w:color w:val="000000" w:themeColor="text1"/>
                <w:highlight w:val="none"/>
                <w14:textFill>
                  <w14:solidFill>
                    <w14:schemeClr w14:val="tx1"/>
                  </w14:solidFill>
                </w14:textFill>
              </w:rPr>
              <w:t>。</w:t>
            </w:r>
          </w:p>
        </w:tc>
        <w:tc>
          <w:tcPr>
            <w:tcW w:w="4441" w:type="dxa"/>
          </w:tcPr>
          <w:p>
            <w:pPr>
              <w:numPr>
                <w:ilvl w:val="0"/>
                <w:numId w:val="0"/>
              </w:numPr>
              <w:snapToGrid w:val="0"/>
              <w:jc w:val="both"/>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保荐人应当重点核查说明本次发行是否符合上市公司应当</w:t>
            </w:r>
            <w:r>
              <w:rPr>
                <w:rFonts w:hint="eastAsia" w:ascii="仿宋_GB2312" w:hAnsi="仿宋_GB2312" w:eastAsia="仿宋_GB2312" w:cs="仿宋_GB2312"/>
                <w:bCs/>
                <w:color w:val="000000" w:themeColor="text1"/>
                <w:kern w:val="0"/>
                <w:sz w:val="24"/>
                <w:szCs w:val="24"/>
                <w14:textFill>
                  <w14:solidFill>
                    <w14:schemeClr w14:val="tx1"/>
                  </w14:solidFill>
                </w14:textFill>
              </w:rPr>
              <w:t>理性融资、合理确定融资规模</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等相关要求，并就本次发行与前次发行时间间隔是否符合相关规定发表明确意见。</w:t>
            </w:r>
          </w:p>
          <w:p>
            <w:pPr>
              <w:numPr>
                <w:ilvl w:val="0"/>
                <w:numId w:val="0"/>
              </w:numPr>
              <w:snapToGrid w:val="0"/>
              <w:jc w:val="both"/>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发行人存在最近两个会计年度归属于母公司净利润（扣除非经常性损益前后孰低）连续亏损的，保荐人应当按照优化再融资监管安排，核查本次再融资预案董事会决议日距离前次募集资金到位日是否符合融资间隔期不得低于18个月的要求；董事会确定全部发行对象的，不适用经营业绩持续亏损相关监管要求。</w:t>
            </w:r>
          </w:p>
          <w:p>
            <w:pPr>
              <w:pBdr>
                <w:bottom w:val="none" w:color="auto" w:sz="0" w:space="0"/>
              </w:pBd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会计师应当就前述事项发表核查意见。</w:t>
            </w:r>
          </w:p>
        </w:tc>
        <w:tc>
          <w:tcPr>
            <w:tcW w:w="2641" w:type="dxa"/>
          </w:tcPr>
          <w:p>
            <w:pPr>
              <w:autoSpaceDE w:val="0"/>
              <w:autoSpaceDN w:val="0"/>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《上市公司证券发行注册管理办法》第四十条，《募集说明书格式准则》第</w:t>
            </w:r>
            <w:r>
              <w:rPr>
                <w:rFonts w:hint="eastAsia" w:ascii="仿宋_GB2312" w:hAnsi="仿宋_GB2312" w:eastAsia="仿宋_GB2312" w:cs="仿宋_GB2312"/>
                <w:color w:val="000000" w:themeColor="text1"/>
                <w:highlight w:val="none"/>
                <w:lang w:eastAsia="zh-CN"/>
                <w14:textFill>
                  <w14:solidFill>
                    <w14:schemeClr w14:val="tx1"/>
                  </w14:solidFill>
                </w14:textFill>
              </w:rPr>
              <w:t>九</w:t>
            </w:r>
            <w:r>
              <w:rPr>
                <w:rFonts w:hint="eastAsia" w:ascii="仿宋_GB2312" w:hAnsi="仿宋_GB2312" w:eastAsia="仿宋_GB2312" w:cs="仿宋_GB2312"/>
                <w:color w:val="000000" w:themeColor="text1"/>
                <w:highlight w:val="none"/>
                <w14:textFill>
                  <w14:solidFill>
                    <w14:schemeClr w14:val="tx1"/>
                  </w14:solidFill>
                </w14:textFill>
              </w:rPr>
              <w:t>条，《&lt;上市公司证券发行注册管理办法&gt;第九条、第十条、第十一条、第十三条、第四十条、第五十七条、第六十条有关规定的适用意见——证券期货法律适用意见第18号》（以下简称《证券期货法律适用意见第18号》）第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w:t>
            </w:r>
          </w:p>
        </w:tc>
        <w:tc>
          <w:tcPr>
            <w:tcW w:w="1434" w:type="dxa"/>
            <w:vAlign w:val="center"/>
          </w:tcPr>
          <w:p>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募投项目与既有业务关系</w:t>
            </w:r>
          </w:p>
        </w:tc>
        <w:tc>
          <w:tcPr>
            <w:tcW w:w="4738" w:type="dxa"/>
          </w:tcPr>
          <w:p>
            <w:pPr>
              <w:widowControl w:val="0"/>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发行人应披露：</w:t>
            </w:r>
          </w:p>
          <w:p>
            <w:pPr>
              <w:widowControl w:val="0"/>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bCs/>
                <w:color w:val="000000" w:themeColor="text1"/>
                <w:highlight w:val="none"/>
                <w14:textFill>
                  <w14:solidFill>
                    <w14:schemeClr w14:val="tx1"/>
                  </w14:solidFill>
                </w14:textFill>
              </w:rPr>
              <w:t>本次募集资金投资项目的基本情况和经营前景，与现有业务或发展战略的关系，项目的实施准备和进展情况，预计实施时间，整体进度安排，发行人的实施能力及资金缺口的解决方式；</w:t>
            </w:r>
          </w:p>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bCs/>
                <w:color w:val="000000" w:themeColor="text1"/>
                <w:highlight w:val="none"/>
                <w14:textFill>
                  <w14:solidFill>
                    <w14:schemeClr w14:val="tx1"/>
                  </w14:solidFill>
                </w14:textFill>
              </w:rPr>
              <w:t>募集资金用于扩大既有业务的，发行人应披露既有业务的发展概况，并结合市场需求及未来发展预期，披露扩大业务规模的必要性，新增产能规模的合理性。</w:t>
            </w:r>
          </w:p>
        </w:tc>
        <w:tc>
          <w:tcPr>
            <w:tcW w:w="4441" w:type="dxa"/>
          </w:tcPr>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本次募集资金主要投向主业，原则上</w:t>
            </w:r>
            <w:r>
              <w:rPr>
                <w:rFonts w:hint="eastAsia" w:ascii="仿宋_GB2312" w:hAnsi="仿宋_GB2312" w:eastAsia="仿宋_GB2312" w:cs="仿宋_GB2312"/>
                <w:bCs/>
                <w:i w:val="0"/>
                <w:iCs w:val="0"/>
                <w:caps w:val="0"/>
                <w:color w:val="000000" w:themeColor="text1"/>
                <w:spacing w:val="0"/>
                <w:kern w:val="0"/>
                <w:sz w:val="24"/>
                <w:szCs w:val="24"/>
                <w:shd w:val="clear" w:fill="auto"/>
                <w14:textFill>
                  <w14:solidFill>
                    <w14:schemeClr w14:val="tx1"/>
                  </w14:solidFill>
                </w14:textFill>
              </w:rPr>
              <w:t>以上市公司披露再融资方案时点为主营业务认定时点的基准</w:t>
            </w:r>
            <w:r>
              <w:rPr>
                <w:rFonts w:hint="eastAsia" w:ascii="仿宋_GB2312" w:hAnsi="仿宋_GB2312" w:eastAsia="仿宋_GB2312" w:cs="仿宋_GB2312"/>
                <w:bCs/>
                <w:i w:val="0"/>
                <w:iCs w:val="0"/>
                <w:caps w:val="0"/>
                <w:color w:val="000000" w:themeColor="text1"/>
                <w:spacing w:val="0"/>
                <w:kern w:val="0"/>
                <w:sz w:val="24"/>
                <w:szCs w:val="24"/>
                <w:shd w:val="clear"/>
                <w:lang w:eastAsia="zh-CN"/>
                <w14:textFill>
                  <w14:solidFill>
                    <w14:schemeClr w14:val="tx1"/>
                  </w14:solidFill>
                </w14:textFill>
              </w:rPr>
              <w:t>。</w:t>
            </w:r>
          </w:p>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当核查本次募投项目与公司既有业务、前次募投项目的区别和联系，是否符合募集资金主要投向主业的相关要求、是否符合国家产业政策；结合行业发展情况、客户储备情况、在手订单、本次募投项目相关产品的产能利用率情况、现有及本次发行拟新增产能情况等，对本次募投项目的必要性、是否有足够的市场空间消化新增产能等事项进行核查并在《发行保荐工作报告》中发表明确意见，同时督促发行人对上述事项进行风险提示。</w:t>
            </w:r>
          </w:p>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募集资金用于发展现有业务（如技术路线升级等）或募投项目与现有业务为产业链上下游的，保荐人应当结合再融资预案披露时点的业务经营情况、募投项目所涉业务运行情况、相关业务是否具有协同性，发行人是否具备相关业务运营能力，在人员、技术、市场等方面的储备及可行性，公司发展战略及项目实施前景，发展现有业务或向产业链上下游拓展的原因和必要性，本次募投项目的具体内容、建成之后的营运模式、盈利模式，是否需要持续的大额资金投入，是否存在短期内无法盈利的风险等，就本次募集资金是否主要投向主业发表明确意见，</w:t>
            </w:r>
            <w:r>
              <w:rPr>
                <w:rFonts w:hint="eastAsia" w:ascii="仿宋_GB2312" w:hAnsi="仿宋_GB2312" w:eastAsia="仿宋_GB2312" w:cs="仿宋_GB2312"/>
                <w:bCs/>
                <w:color w:val="000000" w:themeColor="text1"/>
                <w:kern w:val="0"/>
                <w:sz w:val="24"/>
                <w:szCs w:val="24"/>
                <w14:textFill>
                  <w14:solidFill>
                    <w14:schemeClr w14:val="tx1"/>
                  </w14:solidFill>
                </w14:textFill>
              </w:rPr>
              <w:t>同时督促发行人对上述事项进行风险提示。</w:t>
            </w:r>
          </w:p>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发行人律师应当对募投项目是否符合国家产业政策进行核查并在《律师工作报告》中发表明确意见。</w:t>
            </w:r>
          </w:p>
        </w:tc>
        <w:tc>
          <w:tcPr>
            <w:tcW w:w="2641" w:type="dxa"/>
          </w:tcPr>
          <w:p>
            <w:pPr>
              <w:snapToGrid w:val="0"/>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《上市公司证券发行注册管理办法》第四十条，《募集说明书格式准则》第十二条，《证券期货法律适用意见第 18 号》第五条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1-4</w:t>
            </w:r>
          </w:p>
        </w:tc>
        <w:tc>
          <w:tcPr>
            <w:tcW w:w="1434" w:type="dxa"/>
            <w:vAlign w:val="center"/>
          </w:tcPr>
          <w:p>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募集资金用于拓展新业务、新产品情况</w:t>
            </w:r>
          </w:p>
        </w:tc>
        <w:tc>
          <w:tcPr>
            <w:tcW w:w="4738" w:type="dxa"/>
          </w:tcPr>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发行人应结合公司发展战略及项目实施前景，披露拓展新业务的考虑以及未来新业务与既有业务的发展安排，新业务在人员、技术、市场等方面的储备及可行性。</w:t>
            </w:r>
          </w:p>
        </w:tc>
        <w:tc>
          <w:tcPr>
            <w:tcW w:w="4441" w:type="dxa"/>
          </w:tcPr>
          <w:p>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重点就募投项目是否符合募集资金主要投向主业的相关要求、是否符合国家产业政策，本次募投项目的具体内容，是否具备开展本次募投项目所需的技术、人员、专利储备，建成之后的营运模式、盈利模式，是否需要持续的大额资金投入，是否存在重大不确定性或重大风险，是否存在短期内无法盈利的风险以及对发行人的影响等进行详细核查，并在《发行保荐工作报告》中发表明确意见，同时督促发行人对上述事项进行风险提示。</w:t>
            </w:r>
            <w:r>
              <w:rPr>
                <w:rFonts w:ascii="Times New Roman" w:hAnsi="Times New Roman" w:eastAsia="仿宋_GB2312" w:cs="Times New Roman"/>
                <w:bCs/>
                <w:i w:val="0"/>
                <w:iCs w:val="0"/>
                <w:caps w:val="0"/>
                <w:color w:val="000000" w:themeColor="text1"/>
                <w:spacing w:val="0"/>
                <w:kern w:val="0"/>
                <w:sz w:val="24"/>
                <w:szCs w:val="24"/>
                <w:highlight w:val="none"/>
                <w:shd w:val="clear"/>
                <w14:textFill>
                  <w14:solidFill>
                    <w14:schemeClr w14:val="tx1"/>
                  </w14:solidFill>
                </w14:textFill>
              </w:rPr>
              <w:t>新产品有试生产程序的，原则上应当中试完成或达到同等状态，同时对项目最终能否获得客户认证等相关风险进行重大风险提示。</w:t>
            </w:r>
          </w:p>
        </w:tc>
        <w:tc>
          <w:tcPr>
            <w:tcW w:w="2641" w:type="dxa"/>
          </w:tcPr>
          <w:p>
            <w:pPr>
              <w:snapToGrid w:val="0"/>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《上市公司证券发行注册管理办法》第四十条，《募集说明书格式准则》第十二条，</w:t>
            </w:r>
            <w:r>
              <w:rPr>
                <w:rFonts w:hint="eastAsia" w:ascii="仿宋_GB2312" w:hAnsi="仿宋_GB2312" w:eastAsia="仿宋_GB2312" w:cs="仿宋_GB2312"/>
                <w:bCs/>
                <w:color w:val="000000" w:themeColor="text1"/>
                <w:highlight w:val="none"/>
                <w14:textFill>
                  <w14:solidFill>
                    <w14:schemeClr w14:val="tx1"/>
                  </w14:solidFill>
                </w14:textFill>
              </w:rPr>
              <w:t>《监管规则适用指引——发行类第6号》第七条，《证券期货法律适用意见第 18 号》第五条</w:t>
            </w:r>
          </w:p>
          <w:p>
            <w:pPr>
              <w:snapToGrid w:val="0"/>
              <w:rPr>
                <w:rFonts w:hint="eastAsia" w:ascii="仿宋_GB2312" w:hAnsi="仿宋_GB2312" w:eastAsia="仿宋_GB2312" w:cs="仿宋_GB2312"/>
                <w:bCs/>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1-5</w:t>
            </w:r>
          </w:p>
        </w:tc>
        <w:tc>
          <w:tcPr>
            <w:tcW w:w="1434" w:type="dxa"/>
            <w:vAlign w:val="center"/>
          </w:tcPr>
          <w:p>
            <w:pPr>
              <w:pStyle w:val="44"/>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w:t>
            </w:r>
            <w:r>
              <w:rPr>
                <w:rFonts w:hint="eastAsia" w:ascii="仿宋_GB2312" w:hAnsi="仿宋_GB2312" w:eastAsia="仿宋_GB2312" w:cs="仿宋_GB2312"/>
                <w:b/>
                <w:bCs/>
                <w:color w:val="000000" w:themeColor="text1"/>
                <w:highlight w:val="none"/>
                <w14:textFill>
                  <w14:solidFill>
                    <w14:schemeClr w14:val="tx1"/>
                  </w14:solidFill>
                </w14:textFill>
              </w:rPr>
              <w:t>使用规划</w:t>
            </w:r>
          </w:p>
        </w:tc>
        <w:tc>
          <w:tcPr>
            <w:tcW w:w="4738" w:type="dxa"/>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发行人应披露：</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（1）本次募集资金投资项目的基本情况和经营前景，与现有业务或发展战略的关系，项目的实施准备和进展情况，预计实施时间，整体进度安排，发行人的实施能力及资金缺口的解决方式；</w:t>
            </w:r>
          </w:p>
          <w:p>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（2）募集资金投资项目的准备和进展情况、实施募投项目的能力储备情况、预计实施时间、整体进度计划以及募投项目的实施障碍或风险等；</w:t>
            </w:r>
          </w:p>
          <w:p>
            <w:pPr>
              <w:snapToGrid w:val="0"/>
              <w:jc w:val="both"/>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（3）科创板上市公司应披露本次募集资金投资于科技创新领域的主营业务的说明，以及募投项目实施促进公司科技创新水平提升的方式</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4</w:t>
            </w: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）募集资金拟投资于</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PPP项目的，应披露是否履行了有权机关立项、环评、土地管理、安全、能源管理等方面的审批、备案程序，项目涉及用地是否合法合规；如涉及政府出资或付费的，应当披露已履行或未来需履行的政府审批手续，是否存在法律障碍，并充分揭示风险；如不涉及政府出资或付费的，应当披露作为PPP项目的原因，是否符合法律法规的规定，是否存在潜在风险。</w:t>
            </w:r>
          </w:p>
        </w:tc>
        <w:tc>
          <w:tcPr>
            <w:tcW w:w="4441" w:type="dxa"/>
          </w:tcPr>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保荐人应当结合各募投项目的实际情况，说明各项投资测算的合理性、</w:t>
            </w:r>
            <w:r>
              <w:rPr>
                <w:rFonts w:hint="eastAsia" w:ascii="仿宋_GB2312" w:hAnsi="仿宋_GB2312" w:eastAsia="仿宋_GB2312" w:cs="仿宋_GB2312"/>
                <w:color w:val="000000" w:themeColor="text1"/>
                <w:spacing w:val="-10"/>
                <w:highlight w:val="none"/>
                <w14:textFill>
                  <w14:solidFill>
                    <w14:schemeClr w14:val="tx1"/>
                  </w14:solidFill>
                </w14:textFill>
              </w:rPr>
              <w:t>必要性，募投项目是否存在重大不确</w:t>
            </w:r>
            <w:r>
              <w:rPr>
                <w:rFonts w:hint="eastAsia" w:ascii="仿宋_GB2312" w:hAnsi="仿宋_GB2312" w:eastAsia="仿宋_GB2312" w:cs="仿宋_GB2312"/>
                <w:color w:val="000000" w:themeColor="text1"/>
                <w:spacing w:val="-1"/>
                <w:highlight w:val="none"/>
                <w14:textFill>
                  <w14:solidFill>
                    <w14:schemeClr w14:val="tx1"/>
                  </w14:solidFill>
                </w14:textFill>
              </w:rPr>
              <w:t>定性风险，</w:t>
            </w:r>
            <w:r>
              <w:rPr>
                <w:rFonts w:hint="eastAsia" w:ascii="仿宋_GB2312" w:hAnsi="仿宋_GB2312" w:eastAsia="仿宋_GB2312" w:cs="仿宋_GB2312"/>
                <w:bCs/>
                <w:color w:val="000000" w:themeColor="text1"/>
                <w:highlight w:val="none"/>
                <w14:textFill>
                  <w14:solidFill>
                    <w14:schemeClr w14:val="tx1"/>
                  </w14:solidFill>
                </w14:textFill>
              </w:rPr>
              <w:t>募集资金的预计使用进度，是否包含董事会前投入的资金，</w:t>
            </w:r>
            <w:r>
              <w:rPr>
                <w:rFonts w:hint="eastAsia" w:ascii="仿宋_GB2312" w:hAnsi="仿宋_GB2312" w:eastAsia="仿宋_GB2312" w:cs="仿宋_GB2312"/>
                <w:color w:val="000000" w:themeColor="text1"/>
                <w:spacing w:val="-1"/>
                <w:highlight w:val="none"/>
                <w14:textFill>
                  <w14:solidFill>
                    <w14:schemeClr w14:val="tx1"/>
                  </w14:solidFill>
                </w14:textFill>
              </w:rPr>
              <w:t>是否符合</w:t>
            </w:r>
            <w:r>
              <w:rPr>
                <w:rFonts w:hint="eastAsia" w:ascii="仿宋_GB2312" w:hAnsi="仿宋_GB2312" w:eastAsia="仿宋_GB2312" w:cs="仿宋_GB2312"/>
                <w:color w:val="000000" w:themeColor="text1"/>
                <w:highlight w:val="none"/>
                <w14:textFill>
                  <w14:solidFill>
                    <w14:schemeClr w14:val="tx1"/>
                  </w14:solidFill>
                </w14:textFill>
              </w:rPr>
              <w:t>《监管规则适用指引——发行类第7号》第四条的</w:t>
            </w:r>
            <w:r>
              <w:rPr>
                <w:rFonts w:hint="eastAsia" w:ascii="仿宋_GB2312" w:hAnsi="仿宋_GB2312" w:eastAsia="仿宋_GB2312" w:cs="仿宋_GB2312"/>
                <w:color w:val="000000" w:themeColor="text1"/>
                <w:spacing w:val="-21"/>
                <w:highlight w:val="none"/>
                <w14:textFill>
                  <w14:solidFill>
                    <w14:schemeClr w14:val="tx1"/>
                  </w14:solidFill>
                </w14:textFill>
              </w:rPr>
              <w:t>相</w:t>
            </w:r>
            <w:r>
              <w:rPr>
                <w:rFonts w:hint="eastAsia" w:ascii="仿宋_GB2312" w:hAnsi="仿宋_GB2312" w:eastAsia="仿宋_GB2312" w:cs="仿宋_GB2312"/>
                <w:color w:val="000000" w:themeColor="text1"/>
                <w:highlight w:val="none"/>
                <w14:textFill>
                  <w14:solidFill>
                    <w14:schemeClr w14:val="tx1"/>
                  </w14:solidFill>
                </w14:textFill>
              </w:rPr>
              <w:t>关规定</w:t>
            </w:r>
            <w:r>
              <w:rPr>
                <w:rFonts w:hint="eastAsia" w:ascii="仿宋_GB2312" w:hAnsi="仿宋_GB2312" w:eastAsia="仿宋_GB2312" w:cs="仿宋_GB2312"/>
                <w:color w:val="000000" w:themeColor="text1"/>
                <w:spacing w:val="-10"/>
                <w:highlight w:val="none"/>
                <w14:textFill>
                  <w14:solidFill>
                    <w14:schemeClr w14:val="tx1"/>
                  </w14:solidFill>
                </w14:textFill>
              </w:rPr>
              <w:t>，</w:t>
            </w:r>
            <w:r>
              <w:rPr>
                <w:rFonts w:hint="eastAsia" w:ascii="仿宋_GB2312" w:hAnsi="仿宋_GB2312" w:eastAsia="仿宋_GB2312" w:cs="仿宋_GB2312"/>
                <w:color w:val="000000" w:themeColor="text1"/>
                <w:spacing w:val="-1"/>
                <w:highlight w:val="none"/>
                <w14:textFill>
                  <w14:solidFill>
                    <w14:schemeClr w14:val="tx1"/>
                  </w14:solidFill>
                </w14:textFill>
              </w:rPr>
              <w:t>并在《发行保荐工作报告》中发表明</w:t>
            </w:r>
            <w:r>
              <w:rPr>
                <w:rFonts w:hint="eastAsia" w:ascii="仿宋_GB2312" w:hAnsi="仿宋_GB2312" w:eastAsia="仿宋_GB2312" w:cs="仿宋_GB2312"/>
                <w:color w:val="000000" w:themeColor="text1"/>
                <w:highlight w:val="none"/>
                <w14:textFill>
                  <w14:solidFill>
                    <w14:schemeClr w14:val="tx1"/>
                  </w14:solidFill>
                </w14:textFill>
              </w:rPr>
              <w:t>确意见。</w:t>
            </w:r>
          </w:p>
        </w:tc>
        <w:tc>
          <w:tcPr>
            <w:tcW w:w="2641" w:type="dxa"/>
          </w:tcPr>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t>《监管规则适用指引——发行类第6号》第</w:t>
            </w:r>
            <w:r>
              <w:rPr>
                <w:rFonts w:hint="eastAsia" w:ascii="Times New Roman" w:hAnsi="Times New Roman" w:eastAsia="仿宋_GB2312" w:cs="Times New Roman"/>
                <w:bCs/>
                <w:color w:val="000000" w:themeColor="text1"/>
                <w:kern w:val="0"/>
                <w:sz w:val="24"/>
                <w:szCs w:val="24"/>
                <w:highlight w:val="none"/>
                <w:lang w:val="en-US" w:eastAsia="zh-CN"/>
                <w14:textFill>
                  <w14:solidFill>
                    <w14:schemeClr w14:val="tx1"/>
                  </w14:solidFill>
                </w14:textFill>
              </w:rPr>
              <w:t>十二</w:t>
            </w:r>
            <w: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t>条</w:t>
            </w:r>
            <w:r>
              <w:rPr>
                <w:rFonts w:hint="eastAsia" w:ascii="Times New Roman" w:hAnsi="Times New Roman" w:eastAsia="仿宋_GB2312" w:cs="Times New Roman"/>
                <w:bCs/>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《监管规则适用指引——发行类第7号》第四条</w:t>
            </w:r>
          </w:p>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p>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1-6</w:t>
            </w:r>
          </w:p>
        </w:tc>
        <w:tc>
          <w:tcPr>
            <w:tcW w:w="1434" w:type="dxa"/>
            <w:vAlign w:val="center"/>
          </w:tcPr>
          <w:p>
            <w:pPr>
              <w:snapToGrid w:val="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补充流动资金的情形</w:t>
            </w:r>
          </w:p>
        </w:tc>
        <w:tc>
          <w:tcPr>
            <w:tcW w:w="4738" w:type="dxa"/>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发行人应披露：</w:t>
            </w:r>
          </w:p>
          <w:p>
            <w:pPr>
              <w:pStyle w:val="44"/>
              <w:autoSpaceDE w:val="0"/>
              <w:autoSpaceDN w:val="0"/>
              <w:snapToGrid w:val="0"/>
              <w:ind w:right="0"/>
              <w:jc w:val="both"/>
              <w:rPr>
                <w:rFonts w:hint="eastAsia" w:ascii="仿宋_GB2312" w:hAnsi="仿宋_GB2312" w:eastAsia="仿宋_GB2312" w:cs="仿宋_GB2312"/>
                <w:color w:val="000000" w:themeColor="text1"/>
                <w:spacing w:val="0"/>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（1）公司经营情况，本次融资的原因及融资规模的合理性；</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（2）本次募集资金中资本性支出、非资本性支出构成以及补充流动资金占募集资金的比例。</w:t>
            </w:r>
          </w:p>
        </w:tc>
        <w:tc>
          <w:tcPr>
            <w:tcW w:w="4441" w:type="dxa"/>
          </w:tcPr>
          <w:p>
            <w:pPr>
              <w:pStyle w:val="44"/>
              <w:snapToGrid w:val="0"/>
              <w:jc w:val="both"/>
              <w:rPr>
                <w:rFonts w:hint="eastAsia" w:ascii="仿宋_GB2312" w:hAnsi="仿宋_GB2312" w:eastAsia="仿宋_GB2312" w:cs="仿宋_GB2312"/>
                <w:color w:val="000000" w:themeColor="text1"/>
                <w:spacing w:val="0"/>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保荐人应当就发行人募集资金投资构成是否属于资本性支出发表核查意见，并结合公司业务规模、业务增长情况、现金流状况、资产构成及资金占用情况，论证说明本次补充流动资金的原因及规模的合理性，是否符合《证券期货法律适用意见第18号》第五条的相关要求；对于补充流动资金或者偿还债务规模明显超过企业实际经营情况且缺乏合理理由的，保荐人应当就本次募集资金的合理性审慎发表意见。</w:t>
            </w:r>
          </w:p>
          <w:p>
            <w:pPr>
              <w:pStyle w:val="44"/>
              <w:snapToGrid w:val="0"/>
              <w:jc w:val="both"/>
              <w:rPr>
                <w:rFonts w:hint="eastAsia" w:ascii="仿宋_GB2312" w:hAnsi="仿宋_GB2312" w:eastAsia="仿宋_GB2312" w:cs="仿宋_GB2312"/>
                <w:color w:val="000000" w:themeColor="text1"/>
                <w:spacing w:val="-11"/>
                <w:highlight w:val="none"/>
                <w14:textFill>
                  <w14:solidFill>
                    <w14:schemeClr w14:val="tx1"/>
                  </w14:solidFill>
                </w14:textFill>
              </w:rPr>
            </w:pPr>
            <w:r>
              <w:rPr>
                <w:rFonts w:hint="default" w:ascii="Times New Roman" w:hAnsi="Times New Roman" w:eastAsia="仿宋_GB2312" w:cs="Times New Roman"/>
                <w:bCs/>
                <w:color w:val="000000" w:themeColor="text1"/>
                <w:kern w:val="0"/>
                <w:sz w:val="24"/>
                <w:szCs w:val="24"/>
                <w:lang w:val="en-US" w:eastAsia="zh-CN"/>
                <w14:textFill>
                  <w14:solidFill>
                    <w14:schemeClr w14:val="tx1"/>
                  </w14:solidFill>
                </w14:textFill>
              </w:rPr>
              <w:t>对于具有轻资产、高研发投入特点的企业，再融资募集资金用于补充流动资金和偿还债务的比例超过募集资金总额30%的，应当充分论证其合理性，且超过部分原则上应当用于主营业务相关的研发投入。</w:t>
            </w:r>
          </w:p>
        </w:tc>
        <w:tc>
          <w:tcPr>
            <w:tcW w:w="2641" w:type="dxa"/>
          </w:tcPr>
          <w:p>
            <w:pPr>
              <w:pStyle w:val="44"/>
              <w:snapToGrid w:val="0"/>
              <w:spacing w:line="240" w:lineRule="auto"/>
              <w:jc w:val="both"/>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r>
              <w:rPr>
                <w:rFonts w:hint="eastAsia" w:ascii="仿宋_GB2312" w:hAnsi="仿宋_GB2312" w:eastAsia="仿宋_GB2312" w:cs="仿宋_GB2312"/>
                <w:color w:val="000000" w:themeColor="text1"/>
                <w:spacing w:val="-1"/>
                <w:highlight w:val="none"/>
                <w14:textFill>
                  <w14:solidFill>
                    <w14:schemeClr w14:val="tx1"/>
                  </w14:solidFill>
                </w14:textFill>
              </w:rPr>
              <w:t>《证券期货法律适用意见第18号》第五条</w:t>
            </w:r>
            <w:r>
              <w:rPr>
                <w:rFonts w:hint="eastAsia" w:ascii="仿宋_GB2312" w:hAnsi="仿宋_GB2312" w:eastAsia="仿宋_GB2312" w:cs="仿宋_GB2312"/>
                <w:color w:val="000000" w:themeColor="text1"/>
                <w:spacing w:val="-1"/>
                <w:highlight w:val="none"/>
                <w:lang w:eastAsia="zh-CN"/>
                <w14:textFill>
                  <w14:solidFill>
                    <w14:schemeClr w14:val="tx1"/>
                  </w14:solidFill>
                </w14:textFill>
              </w:rPr>
              <w:t>，</w:t>
            </w:r>
            <w:r>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24"/>
                <w:szCs w:val="24"/>
                <w14:textFill>
                  <w14:solidFill>
                    <w14:schemeClr w14:val="tx1"/>
                  </w14:solidFill>
                </w14:textFill>
              </w:rPr>
              <w:t>上海证券交易所发行上市审核规则适用指引第6号——轻资产、高研发投入认定标准（试行）</w:t>
            </w:r>
            <w:r>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t>》</w:t>
            </w:r>
          </w:p>
          <w:p>
            <w:pPr>
              <w:autoSpaceDE w:val="0"/>
              <w:autoSpaceDN w:val="0"/>
              <w:snapToGrid w:val="0"/>
              <w:rPr>
                <w:rFonts w:hint="eastAsia" w:ascii="仿宋_GB2312" w:hAnsi="仿宋_GB2312" w:eastAsia="仿宋_GB2312" w:cs="仿宋_GB2312"/>
                <w:color w:val="000000" w:themeColor="text1"/>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1-7</w:t>
            </w:r>
          </w:p>
        </w:tc>
        <w:tc>
          <w:tcPr>
            <w:tcW w:w="1434" w:type="dxa"/>
            <w:vAlign w:val="center"/>
          </w:tcPr>
          <w:p>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募投项目效益测算</w:t>
            </w:r>
          </w:p>
        </w:tc>
        <w:tc>
          <w:tcPr>
            <w:tcW w:w="4738" w:type="dxa"/>
            <w:vAlign w:val="center"/>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p>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（1）对于披露预计效益的募投项目，发行人应结合可研报告、内部决策文件或其他同类文件的内容，披露效益预测的假设条件、计算基础及计算过程；</w:t>
            </w:r>
          </w:p>
          <w:p>
            <w:pPr>
              <w:pStyle w:val="44"/>
              <w:tabs>
                <w:tab w:val="left" w:pos="709"/>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（2）发行人披露的效益指标为内部收益率或投资回收期的，应明确内部收益率或投资回收期的测算过程以及所使用的收益数据，并分析募投项目实施后预计对公司经营的影响。</w:t>
            </w:r>
          </w:p>
        </w:tc>
        <w:tc>
          <w:tcPr>
            <w:tcW w:w="4441" w:type="dxa"/>
          </w:tcPr>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保荐人应结合发行人现有业务或同</w:t>
            </w:r>
            <w:r>
              <w:rPr>
                <w:rFonts w:hint="eastAsia" w:ascii="仿宋_GB2312" w:hAnsi="仿宋_GB2312" w:eastAsia="仿宋_GB2312" w:cs="仿宋_GB2312"/>
                <w:color w:val="000000" w:themeColor="text1"/>
                <w:spacing w:val="-7"/>
                <w:highlight w:val="none"/>
                <w14:textFill>
                  <w14:solidFill>
                    <w14:schemeClr w14:val="tx1"/>
                  </w14:solidFill>
                </w14:textFill>
              </w:rPr>
              <w:t>行业上市公司业务开展情况，对效益</w:t>
            </w:r>
            <w:r>
              <w:rPr>
                <w:rFonts w:hint="eastAsia" w:ascii="仿宋_GB2312" w:hAnsi="仿宋_GB2312" w:eastAsia="仿宋_GB2312" w:cs="仿宋_GB2312"/>
                <w:color w:val="000000" w:themeColor="text1"/>
                <w:highlight w:val="none"/>
                <w14:textFill>
                  <w14:solidFill>
                    <w14:schemeClr w14:val="tx1"/>
                  </w14:solidFill>
                </w14:textFill>
              </w:rPr>
              <w:t>预测的计算方式、计算基础进行核</w:t>
            </w:r>
            <w:r>
              <w:rPr>
                <w:rFonts w:hint="eastAsia" w:ascii="仿宋_GB2312" w:hAnsi="仿宋_GB2312" w:eastAsia="仿宋_GB2312" w:cs="仿宋_GB2312"/>
                <w:color w:val="000000" w:themeColor="text1"/>
                <w:spacing w:val="-1"/>
                <w:highlight w:val="none"/>
                <w14:textFill>
                  <w14:solidFill>
                    <w14:schemeClr w14:val="tx1"/>
                  </w14:solidFill>
                </w14:textFill>
              </w:rPr>
              <w:t>查，在预计效益测算的基础上，与现有业务的经营情况进行纵向对比，说明增长率、毛利率、预测净利率等收益指标的合理性，或与同行业可比公司的经营情况进行横向比较，说明增长率、毛利率等收益指标的合理性，并在《发行保荐工作报告》中发表意见。发行前可研报告超过一年的，保荐人应督促发行人就预计效益的计算基础是否发生变化、变化的具体内容及对效益测算的影响进行补充说明。若效益预测基础或经营环境发生变化的，保荐人应督促发行人在发行前更新披露本次募投项目的预计效益。</w:t>
            </w:r>
          </w:p>
        </w:tc>
        <w:tc>
          <w:tcPr>
            <w:tcW w:w="2641" w:type="dxa"/>
          </w:tcPr>
          <w:p>
            <w:pPr>
              <w:pStyle w:val="44"/>
              <w:tabs>
                <w:tab w:val="left" w:pos="381"/>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《募集说明书格式准则》第十二条，《监管规则适用指引——发行类第7号》第五条</w:t>
            </w:r>
          </w:p>
          <w:p>
            <w:pPr>
              <w:pStyle w:val="44"/>
              <w:tabs>
                <w:tab w:val="left" w:pos="381"/>
              </w:tabs>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1-8</w:t>
            </w:r>
          </w:p>
        </w:tc>
        <w:tc>
          <w:tcPr>
            <w:tcW w:w="1434" w:type="dxa"/>
            <w:vAlign w:val="center"/>
          </w:tcPr>
          <w:p>
            <w:pPr>
              <w:snapToGrid w:val="0"/>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募投项目备案或审批情况</w:t>
            </w:r>
          </w:p>
        </w:tc>
        <w:tc>
          <w:tcPr>
            <w:tcW w:w="4738" w:type="dxa"/>
          </w:tcPr>
          <w:p>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w:t>
            </w:r>
            <w:r>
              <w:rPr>
                <w:rFonts w:hint="eastAsia" w:ascii="仿宋_GB2312" w:hAnsi="仿宋_GB2312" w:eastAsia="仿宋_GB2312" w:cs="仿宋_GB2312"/>
                <w:color w:val="000000" w:themeColor="text1"/>
                <w:highlight w:val="none"/>
                <w14:textFill>
                  <w14:solidFill>
                    <w14:schemeClr w14:val="tx1"/>
                  </w14:solidFill>
                </w14:textFill>
              </w:rPr>
              <w:t>露：</w:t>
            </w:r>
          </w:p>
          <w:p>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（1）本次募集资金投资项目涉及立项、土地、环保等有关审批、批准或备案事项的进展、尚需履行的程序及是否存在重大不确定性；</w:t>
            </w:r>
          </w:p>
          <w:p>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募投项目用地尚未取得的，发行人应当披露募投项目用地的计划、取得土地的具体安排、进度,是否符合土地政策、城市规划,募投项目用地落实的风险；如无法取得募投项目用地拟采取的替代措施以及对募投项目实施的影响等；</w:t>
            </w:r>
          </w:p>
          <w:p>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如涉及特殊政策允许进行境外投资的，充分披露风险。</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p>
        </w:tc>
        <w:tc>
          <w:tcPr>
            <w:tcW w:w="4441" w:type="dxa"/>
            <w:vAlign w:val="center"/>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保荐人应当对相关事项进行核</w:t>
            </w:r>
            <w:r>
              <w:rPr>
                <w:rFonts w:hint="eastAsia" w:ascii="仿宋_GB2312" w:hAnsi="仿宋_GB2312" w:eastAsia="仿宋_GB2312" w:cs="仿宋_GB2312"/>
                <w:color w:val="000000" w:themeColor="text1"/>
                <w:spacing w:val="-1"/>
                <w:highlight w:val="none"/>
                <w14:textFill>
                  <w14:solidFill>
                    <w14:schemeClr w14:val="tx1"/>
                  </w14:solidFill>
                </w14:textFill>
              </w:rPr>
              <w:t>查，</w:t>
            </w:r>
            <w:r>
              <w:rPr>
                <w:rFonts w:hint="eastAsia" w:ascii="仿宋_GB2312" w:hAnsi="仿宋_GB2312" w:eastAsia="仿宋_GB2312" w:cs="仿宋_GB2312"/>
                <w:color w:val="000000" w:themeColor="text1"/>
                <w:highlight w:val="none"/>
                <w14:textFill>
                  <w14:solidFill>
                    <w14:schemeClr w14:val="tx1"/>
                  </w14:solidFill>
                </w14:textFill>
              </w:rPr>
              <w:t>若涉及特殊政策允许进行境外投资的，应当提供有权机关对项目是否符合特殊政策的说明；</w:t>
            </w:r>
            <w:r>
              <w:rPr>
                <w:rFonts w:hint="eastAsia" w:ascii="仿宋_GB2312" w:hAnsi="仿宋_GB2312" w:eastAsia="仿宋_GB2312" w:cs="仿宋_GB2312"/>
                <w:color w:val="000000" w:themeColor="text1"/>
                <w:spacing w:val="-1"/>
                <w:highlight w:val="none"/>
                <w14:textFill>
                  <w14:solidFill>
                    <w14:schemeClr w14:val="tx1"/>
                  </w14:solidFill>
                </w14:textFill>
              </w:rPr>
              <w:t>若发行人尚未完成相关审批、批准、备案或有效期即将届满的，</w:t>
            </w:r>
            <w:r>
              <w:rPr>
                <w:rFonts w:hint="eastAsia" w:ascii="仿宋_GB2312" w:hAnsi="仿宋_GB2312" w:eastAsia="仿宋_GB2312" w:cs="仿宋_GB2312"/>
                <w:color w:val="000000" w:themeColor="text1"/>
                <w:highlight w:val="none"/>
                <w14:textFill>
                  <w14:solidFill>
                    <w14:schemeClr w14:val="tx1"/>
                  </w14:solidFill>
                </w14:textFill>
              </w:rPr>
              <w:t>应说明募投项目的实施是否存在重大不确定性、是否对本次发行构成实质性障碍；</w:t>
            </w:r>
            <w:r>
              <w:rPr>
                <w:rFonts w:hint="eastAsia" w:ascii="仿宋_GB2312" w:hAnsi="仿宋_GB2312" w:eastAsia="仿宋_GB2312" w:cs="仿宋_GB2312"/>
                <w:i w:val="0"/>
                <w:iCs w:val="0"/>
                <w:caps w:val="0"/>
                <w:color w:val="000000" w:themeColor="text1"/>
                <w:spacing w:val="0"/>
                <w:sz w:val="24"/>
                <w:szCs w:val="24"/>
                <w:highlight w:val="none"/>
                <w:shd w:val="clear"/>
                <w14:textFill>
                  <w14:solidFill>
                    <w14:schemeClr w14:val="tx1"/>
                  </w14:solidFill>
                </w14:textFill>
              </w:rPr>
              <w:t>原则上，发行人应在申报时提交</w:t>
            </w:r>
            <w:r>
              <w:rPr>
                <w:rFonts w:hint="eastAsia" w:ascii="仿宋_GB2312" w:hAnsi="仿宋_GB2312" w:eastAsia="仿宋_GB2312" w:cs="仿宋_GB2312"/>
                <w:i w:val="0"/>
                <w:iCs w:val="0"/>
                <w:caps w:val="0"/>
                <w:color w:val="000000" w:themeColor="text1"/>
                <w:spacing w:val="0"/>
                <w:sz w:val="24"/>
                <w:szCs w:val="24"/>
                <w:highlight w:val="none"/>
                <w:shd w:val="clear"/>
                <w:lang w:eastAsia="zh-CN"/>
                <w14:textFill>
                  <w14:solidFill>
                    <w14:schemeClr w14:val="tx1"/>
                  </w14:solidFill>
                </w14:textFill>
              </w:rPr>
              <w:t>募投项目环境影响评价</w:t>
            </w:r>
            <w:r>
              <w:rPr>
                <w:rFonts w:hint="eastAsia" w:ascii="仿宋_GB2312" w:hAnsi="仿宋_GB2312" w:eastAsia="仿宋_GB2312" w:cs="仿宋_GB2312"/>
                <w:i w:val="0"/>
                <w:iCs w:val="0"/>
                <w:caps w:val="0"/>
                <w:color w:val="000000" w:themeColor="text1"/>
                <w:spacing w:val="0"/>
                <w:sz w:val="24"/>
                <w:szCs w:val="24"/>
                <w:highlight w:val="none"/>
                <w:shd w:val="clear"/>
                <w14:textFill>
                  <w14:solidFill>
                    <w14:schemeClr w14:val="tx1"/>
                  </w14:solidFill>
                </w14:textFill>
              </w:rPr>
              <w:t>批复文件</w:t>
            </w:r>
            <w:r>
              <w:rPr>
                <w:rFonts w:hint="eastAsia" w:ascii="仿宋_GB2312" w:hAnsi="仿宋_GB2312" w:eastAsia="仿宋_GB2312" w:cs="仿宋_GB2312"/>
                <w:i w:val="0"/>
                <w:iCs w:val="0"/>
                <w:caps w:val="0"/>
                <w:color w:val="000000" w:themeColor="text1"/>
                <w:spacing w:val="0"/>
                <w:sz w:val="24"/>
                <w:szCs w:val="24"/>
                <w:highlight w:val="none"/>
                <w:shd w:val="clear"/>
                <w:lang w:eastAsia="zh-CN"/>
                <w14:textFill>
                  <w14:solidFill>
                    <w14:schemeClr w14:val="tx1"/>
                  </w14:solidFill>
                </w14:textFill>
              </w:rPr>
              <w:t>，如由于客观原因未能及时取得的，应说明原因、是否存在障碍问题、预计取得时间，并督促发行人出具关于在问询回复时限内及时取得批复文件的承诺；</w:t>
            </w:r>
            <w:r>
              <w:rPr>
                <w:rFonts w:hint="eastAsia" w:ascii="仿宋_GB2312" w:hAnsi="仿宋_GB2312" w:eastAsia="仿宋_GB2312" w:cs="仿宋_GB2312"/>
                <w:color w:val="000000" w:themeColor="text1"/>
                <w:highlight w:val="none"/>
                <w14:textFill>
                  <w14:solidFill>
                    <w14:schemeClr w14:val="tx1"/>
                  </w14:solidFill>
                </w14:textFill>
              </w:rPr>
              <w:t>对募投用地是否符合国家土地法律法规政策，境外投资的境内审批是否已全部取得以及本次对外投资项目是否符合国家法律法规政策的规定等进行核查并在《发行保荐工作报告》中发表明确意见。</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发行人律师应对相关事项进行核查，并在《律师工作报告》中发</w:t>
            </w:r>
            <w:r>
              <w:rPr>
                <w:rFonts w:hint="eastAsia" w:ascii="仿宋_GB2312" w:hAnsi="仿宋_GB2312" w:eastAsia="仿宋_GB2312" w:cs="仿宋_GB2312"/>
                <w:color w:val="000000" w:themeColor="text1"/>
                <w:highlight w:val="none"/>
                <w14:textFill>
                  <w14:solidFill>
                    <w14:schemeClr w14:val="tx1"/>
                  </w14:solidFill>
                </w14:textFill>
              </w:rPr>
              <w:t>表明确意见。</w:t>
            </w:r>
          </w:p>
        </w:tc>
        <w:tc>
          <w:tcPr>
            <w:tcW w:w="2641" w:type="dxa"/>
          </w:tcPr>
          <w:p>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《募集说明书格式准则》第十二条，《监管规则适用指引——发行类第6号》第四条、第七条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1-9</w:t>
            </w:r>
          </w:p>
        </w:tc>
        <w:tc>
          <w:tcPr>
            <w:tcW w:w="1434" w:type="dxa"/>
            <w:vAlign w:val="center"/>
          </w:tcPr>
          <w:p>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募集资金研发投入情况</w:t>
            </w:r>
          </w:p>
        </w:tc>
        <w:tc>
          <w:tcPr>
            <w:tcW w:w="4738" w:type="dxa"/>
          </w:tcPr>
          <w:p>
            <w:pPr>
              <w:pStyle w:val="44"/>
              <w:tabs>
                <w:tab w:val="left" w:pos="709"/>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发行人应披露：研发投入的主要内容、技术可行性、研发预算及时间安排、目前研发投入及进展、预计未来研发费用资本化情况、已取得及预计取得的研发成果等。</w:t>
            </w:r>
          </w:p>
        </w:tc>
        <w:tc>
          <w:tcPr>
            <w:tcW w:w="4441" w:type="dxa"/>
          </w:tcPr>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应对上述事项进行核查，说明研发投入中资本化的部分是否符合项目实际情况、是否符合《企业会计准则》的相关规定；结合报告期内发行人同类项目、同行业公司可比项目的资本化情况，说明本次募投项目总拟资本化金额的合理性，并在《发行保荐工作报告》中发表明确意见。</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会计师应当按照上述要求出具专项说明文件并发表明确意见。</w:t>
            </w:r>
          </w:p>
        </w:tc>
        <w:tc>
          <w:tcPr>
            <w:tcW w:w="2641" w:type="dxa"/>
          </w:tcPr>
          <w:p>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1-10</w:t>
            </w:r>
          </w:p>
        </w:tc>
        <w:tc>
          <w:tcPr>
            <w:tcW w:w="1434" w:type="dxa"/>
            <w:vAlign w:val="center"/>
          </w:tcPr>
          <w:p>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发行人是否通过控股公司或参股公司实施募投项目</w:t>
            </w:r>
          </w:p>
        </w:tc>
        <w:tc>
          <w:tcPr>
            <w:tcW w:w="4738" w:type="dxa"/>
            <w:vAlign w:val="center"/>
          </w:tcPr>
          <w:p>
            <w:pPr>
              <w:pStyle w:val="44"/>
              <w:snapToGrid w:val="0"/>
              <w:jc w:val="both"/>
              <w:rPr>
                <w:rFonts w:hint="eastAsia" w:ascii="仿宋_GB2312" w:hAnsi="仿宋_GB2312" w:eastAsia="仿宋_GB2312" w:cs="仿宋_GB2312"/>
                <w:color w:val="000000" w:themeColor="text1"/>
                <w:spacing w:val="-2"/>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（1</w:t>
            </w:r>
            <w:r>
              <w:rPr>
                <w:rFonts w:hint="eastAsia" w:ascii="仿宋_GB2312" w:hAnsi="仿宋_GB2312" w:eastAsia="仿宋_GB2312" w:cs="仿宋_GB2312"/>
                <w:color w:val="000000" w:themeColor="text1"/>
                <w:spacing w:val="-1"/>
                <w:highlight w:val="none"/>
                <w14:textFill>
                  <w14:solidFill>
                    <w14:schemeClr w14:val="tx1"/>
                  </w14:solidFill>
                </w14:textFill>
              </w:rPr>
              <w:t>）本次募集资金投资项目的实施准备和进展情况，预计实施时间，整体进度安排，发行人的实施能力及资金缺口的解决方式；</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（2</w:t>
            </w:r>
            <w:r>
              <w:rPr>
                <w:rFonts w:hint="eastAsia" w:ascii="仿宋_GB2312" w:hAnsi="仿宋_GB2312" w:eastAsia="仿宋_GB2312" w:cs="仿宋_GB2312"/>
                <w:color w:val="000000" w:themeColor="text1"/>
                <w:spacing w:val="-1"/>
                <w:highlight w:val="none"/>
                <w14:textFill>
                  <w14:solidFill>
                    <w14:schemeClr w14:val="tx1"/>
                  </w14:solidFill>
                </w14:textFill>
              </w:rPr>
              <w:t>）通过与控股股东、实际控制人、董事、高级管理人员及其亲属共同出资设立的公司实施募投项目的，应当披露该公司的基本情况,共同设立公司的原因、背景、必要性和合规性、相关利益冲突的防范措施；通过该公司实施募投项目的原因、必要性和合理性；共同投资行为是否履行了关联交易的相关程序及其合法合规性。</w:t>
            </w:r>
          </w:p>
        </w:tc>
        <w:tc>
          <w:tcPr>
            <w:tcW w:w="4441" w:type="dxa"/>
          </w:tcPr>
          <w:p>
            <w:pPr>
              <w:pStyle w:val="44"/>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w:t>
            </w:r>
            <w:r>
              <w:rPr>
                <w:rFonts w:hint="eastAsia" w:ascii="仿宋_GB2312" w:hAnsi="仿宋_GB2312" w:eastAsia="仿宋_GB2312" w:cs="仿宋_GB2312"/>
                <w:color w:val="000000" w:themeColor="text1"/>
                <w:highlight w:val="none"/>
                <w14:textFill>
                  <w14:solidFill>
                    <w14:schemeClr w14:val="tx1"/>
                  </w14:solidFill>
                </w14:textFill>
              </w:rPr>
              <w:t>及发行人律师应对以下事项进行核查：</w:t>
            </w:r>
          </w:p>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1）原则上要求实施主体为母公司或其拥有控制权的子公司，若发行人通过参股公司实施募投项目，应核查是否基于历史原因导致发行人一直通过该参股公司开展主营业务、是否能对募集资金进行有效监管、能否参与参股公司的重大事项经营决策、参股公司是否有切实可行的分红方案，或是否国家法律法规或政策另有规定，并在《发行保荐工作报告》和《律师工作报告》中发表明确意见。</w:t>
            </w:r>
          </w:p>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通过新设非全资控股子公司或参股公司实施募投项目的，应核查与其他股东合作原因、其他股东实力及商业合理性,并就其他股东是否属于关联方、双方出资比例、子公司法人治理结构、设立后发行人是否拥有控制权等进行核查并发表意见。</w:t>
            </w:r>
          </w:p>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3）通过非全资控股子公司或参股公司实施募投项目的，应当核查中小股东或其他股东是否同比例增资或提供贷款,同时需明确增资价格和借款的主要条款(贷款利率)。保荐人及发行人律师应当结合上述情况核查是否存在损害上市公司利益的情形在《发行保荐工作报告》和《律师工作报告》中发表意见；</w:t>
            </w:r>
          </w:p>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（4）通过与控股股东、实际控制人、董事、高级管理人员及其亲属共同出资设立的公司实施募投项目的，在《发行保荐工作报告》和《律师工作报告》中对上述事项及发行人是否符合《公司法》</w:t>
            </w:r>
            <w:r>
              <w:rPr>
                <w:rFonts w:hint="eastAsia" w:ascii="仿宋_GB2312" w:hAnsi="仿宋_GB2312" w:eastAsia="仿宋_GB2312" w:cs="仿宋_GB2312"/>
                <w:color w:val="000000" w:themeColor="text1"/>
                <w:spacing w:val="-1"/>
                <w:highlight w:val="none"/>
                <w:lang w:eastAsia="zh-CN"/>
                <w14:textFill>
                  <w14:solidFill>
                    <w14:schemeClr w14:val="tx1"/>
                  </w14:solidFill>
                </w14:textFill>
              </w:rPr>
              <w:t>相关</w:t>
            </w:r>
            <w:r>
              <w:rPr>
                <w:rFonts w:hint="eastAsia" w:ascii="仿宋_GB2312" w:hAnsi="仿宋_GB2312" w:eastAsia="仿宋_GB2312" w:cs="仿宋_GB2312"/>
                <w:color w:val="000000" w:themeColor="text1"/>
                <w:spacing w:val="-1"/>
                <w:highlight w:val="none"/>
                <w14:textFill>
                  <w14:solidFill>
                    <w14:schemeClr w14:val="tx1"/>
                  </w14:solidFill>
                </w14:textFill>
              </w:rPr>
              <w:t>规定、相关防范措施的有效性发表意见。</w:t>
            </w:r>
          </w:p>
        </w:tc>
        <w:tc>
          <w:tcPr>
            <w:tcW w:w="2641" w:type="dxa"/>
          </w:tcPr>
          <w:p>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《募集说明书格式准则》第十二条，《监管规则适用指引——发行类第6号》第八条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w:t>
            </w:r>
          </w:p>
        </w:tc>
        <w:tc>
          <w:tcPr>
            <w:tcW w:w="1434" w:type="dxa"/>
            <w:vAlign w:val="center"/>
          </w:tcPr>
          <w:p>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发行人主营业务或本次募投项目是否涉及产能过剩行业</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限制类、淘汰类行业，高耗能高排放行业</w:t>
            </w:r>
          </w:p>
        </w:tc>
        <w:tc>
          <w:tcPr>
            <w:tcW w:w="4738" w:type="dxa"/>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发行人应披露符合国家产业政策和有关环境保护、土地管理等法律、行政法规规定。</w:t>
            </w:r>
          </w:p>
        </w:tc>
        <w:tc>
          <w:tcPr>
            <w:tcW w:w="4441" w:type="dxa"/>
          </w:tcPr>
          <w:p>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应当充分关注发行人主营业务或本次募投项目是否涉及产能过剩行业或限制类、淘汰类行业、高耗能、高排放行业，主要能源消耗和污染物排放是否符合国家、行业或协会的相关标准、规定，相关业务或项目是否符合国家产业政策规定，并在保荐工作报告中发表明确意见。</w:t>
            </w:r>
            <w:r>
              <w:rPr>
                <w:rFonts w:hint="eastAsia" w:ascii="仿宋_GB2312" w:hAnsi="仿宋_GB2312" w:eastAsia="仿宋_GB2312" w:cs="仿宋_GB2312"/>
                <w:color w:val="000000" w:themeColor="text1"/>
                <w:spacing w:val="-1"/>
                <w:highlight w:val="none"/>
                <w14:textFill>
                  <w14:solidFill>
                    <w14:schemeClr w14:val="tx1"/>
                  </w14:solidFill>
                </w14:textFill>
              </w:rPr>
              <w:br w:type="textWrapping"/>
            </w:r>
            <w:r>
              <w:rPr>
                <w:rFonts w:hint="eastAsia" w:ascii="仿宋_GB2312" w:hAnsi="仿宋_GB2312" w:eastAsia="仿宋_GB2312" w:cs="仿宋_GB2312"/>
                <w:color w:val="000000" w:themeColor="text1"/>
                <w:spacing w:val="-1"/>
                <w:highlight w:val="none"/>
                <w14:textFill>
                  <w14:solidFill>
                    <w14:schemeClr w14:val="tx1"/>
                  </w14:solidFill>
                </w14:textFill>
              </w:rPr>
              <w:t>原则上募集资金投资后不得新增过剩产能或投资于限制类、淘汰类项目。</w:t>
            </w:r>
            <w:r>
              <w:rPr>
                <w:rFonts w:hint="eastAsia" w:ascii="仿宋_GB2312" w:hAnsi="仿宋_GB2312" w:eastAsia="仿宋_GB2312" w:cs="仿宋_GB2312"/>
                <w:color w:val="000000" w:themeColor="text1"/>
                <w:spacing w:val="-1"/>
                <w:highlight w:val="none"/>
                <w14:textFill>
                  <w14:solidFill>
                    <w14:schemeClr w14:val="tx1"/>
                  </w14:solidFill>
                </w14:textFill>
              </w:rPr>
              <w:br w:type="textWrapping"/>
            </w:r>
            <w:r>
              <w:rPr>
                <w:rFonts w:hint="eastAsia" w:ascii="仿宋_GB2312" w:hAnsi="仿宋_GB2312" w:eastAsia="仿宋_GB2312" w:cs="仿宋_GB2312"/>
                <w:color w:val="000000" w:themeColor="text1"/>
                <w:spacing w:val="-1"/>
                <w:highlight w:val="none"/>
                <w14:textFill>
                  <w14:solidFill>
                    <w14:schemeClr w14:val="tx1"/>
                  </w14:solidFill>
                </w14:textFill>
              </w:rPr>
              <w:t>发行人律师应对上述事项进行核查，并在《律师工作报告》中发表明确意见。</w:t>
            </w:r>
          </w:p>
        </w:tc>
        <w:tc>
          <w:tcPr>
            <w:tcW w:w="2641" w:type="dxa"/>
          </w:tcPr>
          <w:p>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《上市公司证券发行注册管理办法》第十二条，《监管规则适用指引——发行类第6号》第七条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w:t>
            </w:r>
          </w:p>
        </w:tc>
        <w:tc>
          <w:tcPr>
            <w:tcW w:w="1434" w:type="dxa"/>
            <w:vAlign w:val="center"/>
          </w:tcPr>
          <w:p>
            <w:pPr>
              <w:pStyle w:val="44"/>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募集资金投向科创领域</w:t>
            </w:r>
          </w:p>
        </w:tc>
        <w:tc>
          <w:tcPr>
            <w:tcW w:w="4738" w:type="dxa"/>
            <w:vAlign w:val="center"/>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科创板上市公司应披露：</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（1）本次发行完成后，科创板上市公司科技创新能力的变化；</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（2）本次募集资金投资于科技创新领域的主营业务的情况，以及募投项目实施促进公司科技创新水平提升的方式；</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（3）收购的资产为其他企业股权的（含增资方式收购），应披露股权所在公司的科技创新水平；</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（4）前次募集资金用途发生变更或项目延期的，应披露变更后募投项目是否属于科技创新领域；</w:t>
            </w:r>
          </w:p>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（5）前次募集资金使用对发行人科技创新的作用。</w:t>
            </w:r>
          </w:p>
        </w:tc>
        <w:tc>
          <w:tcPr>
            <w:tcW w:w="4441" w:type="dxa"/>
          </w:tcPr>
          <w:p>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保荐人应当就科创板上市公司本次募集资金投向是否属于科技创新领域出具专项核查意见。</w:t>
            </w:r>
          </w:p>
        </w:tc>
        <w:tc>
          <w:tcPr>
            <w:tcW w:w="2641" w:type="dxa"/>
          </w:tcPr>
          <w:p>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《募集说明书格式准则》第十二条、第十六条、第二十二条、第二十三条，《监管规则适用指引——发行类第7号》第四条</w:t>
            </w:r>
          </w:p>
          <w:p>
            <w:pPr>
              <w:pStyle w:val="44"/>
              <w:tabs>
                <w:tab w:val="left" w:pos="381"/>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p>
        </w:tc>
      </w:tr>
    </w:tbl>
    <w:p>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472"/>
        <w:gridCol w:w="4701"/>
        <w:gridCol w:w="4641"/>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vAlign w:val="center"/>
          </w:tcPr>
          <w:p>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二、关于发行方案的相关问题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9"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472"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701"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641"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487"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2-1</w:t>
            </w:r>
          </w:p>
        </w:tc>
        <w:tc>
          <w:tcPr>
            <w:tcW w:w="1472" w:type="dxa"/>
            <w:vAlign w:val="center"/>
          </w:tcPr>
          <w:p>
            <w:pPr>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董事会前确定发行对象的相关事项</w:t>
            </w:r>
          </w:p>
        </w:tc>
        <w:tc>
          <w:tcPr>
            <w:tcW w:w="4701" w:type="dxa"/>
          </w:tcPr>
          <w:p>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发行人应披露：</w:t>
            </w:r>
          </w:p>
          <w:p>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（1）认购对象为控股股东、实际控制人</w:t>
            </w:r>
            <w:r>
              <w:rPr>
                <w:rFonts w:hint="eastAsia" w:ascii="仿宋_GB2312" w:hAnsi="仿宋_GB2312" w:eastAsia="仿宋_GB2312" w:cs="仿宋_GB2312"/>
                <w:color w:val="000000" w:themeColor="text1"/>
                <w14:textFill>
                  <w14:solidFill>
                    <w14:schemeClr w14:val="tx1"/>
                  </w14:solidFill>
                </w14:textFill>
              </w:rPr>
              <w:t>所控制的关联方的，控制关系的认定是否合理，是否符合相关规定；</w:t>
            </w:r>
          </w:p>
          <w:p>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（2）认购对象的认购资金来源，是否为</w:t>
            </w:r>
            <w:r>
              <w:rPr>
                <w:rFonts w:hint="eastAsia" w:ascii="仿宋_GB2312" w:hAnsi="仿宋_GB2312" w:eastAsia="仿宋_GB2312" w:cs="仿宋_GB2312"/>
                <w:color w:val="000000" w:themeColor="text1"/>
                <w14:textFill>
                  <w14:solidFill>
                    <w14:schemeClr w14:val="tx1"/>
                  </w14:solidFill>
                </w14:textFill>
              </w:rPr>
              <w:t>自有资金，是否存在对外募集、代持、结构化安排或直接、间接使用发行人及其关联方资金用于认购的情形，是否存在发行人及其控股股东或实际控制人、主要股东直接或通过其利益相关方向认购对象</w:t>
            </w:r>
            <w:r>
              <w:rPr>
                <w:rFonts w:hint="eastAsia" w:ascii="仿宋_GB2312" w:hAnsi="仿宋_GB2312" w:eastAsia="仿宋_GB2312" w:cs="仿宋_GB2312"/>
                <w:color w:val="000000" w:themeColor="text1"/>
                <w:highlight w:val="none"/>
                <w14:textFill>
                  <w14:solidFill>
                    <w14:schemeClr w14:val="tx1"/>
                  </w14:solidFill>
                </w14:textFill>
              </w:rPr>
              <w:t>提供财务资助、</w:t>
            </w:r>
            <w:r>
              <w:rPr>
                <w:rFonts w:hint="eastAsia" w:ascii="仿宋_GB2312" w:hAnsi="仿宋_GB2312" w:eastAsia="仿宋_GB2312" w:cs="仿宋_GB2312"/>
                <w:color w:val="000000" w:themeColor="text1"/>
                <w14:textFill>
                  <w14:solidFill>
                    <w14:schemeClr w14:val="tx1"/>
                  </w14:solidFill>
                </w14:textFill>
              </w:rPr>
              <w:t>补偿、承诺收益或其他协议安排的情形；认购资金是否来源于股权质押的，发行完成后控股股东、实际控制人是否存在高比例质押风险以及对公司控制权的影响。</w:t>
            </w:r>
          </w:p>
          <w:p>
            <w:pPr>
              <w:pStyle w:val="44"/>
              <w:tabs>
                <w:tab w:val="left" w:pos="709"/>
              </w:tabs>
              <w:snapToGrid w:val="0"/>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（3）认购对象应当承诺不存在以下情形：法律法规规定禁止持股；本次发行的中介机构或其负责人、高级管理人员、经办人员等违规持股；不当利益输送</w:t>
            </w:r>
            <w:r>
              <w:rPr>
                <w:rFonts w:hint="eastAsia" w:ascii="仿宋_GB2312" w:hAnsi="仿宋_GB2312" w:eastAsia="仿宋_GB2312" w:cs="仿宋_GB2312"/>
                <w:color w:val="000000" w:themeColor="text1"/>
                <w:lang w:eastAsia="zh-CN"/>
                <w14:textFill>
                  <w14:solidFill>
                    <w14:schemeClr w14:val="tx1"/>
                  </w14:solidFill>
                </w14:textFill>
              </w:rPr>
              <w:t>；</w:t>
            </w:r>
          </w:p>
          <w:p>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（4）是否存在对本次发行定价具有重大影响的事项。</w:t>
            </w:r>
          </w:p>
        </w:tc>
        <w:tc>
          <w:tcPr>
            <w:tcW w:w="4641"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8"/>
                <w14:textFill>
                  <w14:solidFill>
                    <w14:schemeClr w14:val="tx1"/>
                  </w14:solidFill>
                </w14:textFill>
              </w:rPr>
              <w:t>保荐人应对上述事项进行核查，确认</w:t>
            </w:r>
            <w:r>
              <w:rPr>
                <w:rFonts w:hint="eastAsia" w:ascii="仿宋_GB2312" w:hAnsi="仿宋_GB2312" w:eastAsia="仿宋_GB2312" w:cs="仿宋_GB2312"/>
                <w:color w:val="000000" w:themeColor="text1"/>
                <w14:textFill>
                  <w14:solidFill>
                    <w14:schemeClr w14:val="tx1"/>
                  </w14:solidFill>
                </w14:textFill>
              </w:rPr>
              <w:t>本次认购对象是否在定价基准日前</w:t>
            </w:r>
            <w:r>
              <w:rPr>
                <w:rFonts w:hint="eastAsia" w:ascii="仿宋_GB2312" w:hAnsi="仿宋_GB2312" w:eastAsia="仿宋_GB2312" w:cs="仿宋_GB2312"/>
                <w:color w:val="000000" w:themeColor="text1"/>
                <w:spacing w:val="-8"/>
                <w14:textFill>
                  <w14:solidFill>
                    <w14:schemeClr w14:val="tx1"/>
                  </w14:solidFill>
                </w14:textFill>
              </w:rPr>
              <w:t>六个月内是否减持发行人股份，并出</w:t>
            </w:r>
            <w:r>
              <w:rPr>
                <w:rFonts w:hint="eastAsia" w:ascii="仿宋_GB2312" w:hAnsi="仿宋_GB2312" w:eastAsia="仿宋_GB2312" w:cs="仿宋_GB2312"/>
                <w:color w:val="000000" w:themeColor="text1"/>
                <w:spacing w:val="-10"/>
                <w14:textFill>
                  <w14:solidFill>
                    <w14:schemeClr w14:val="tx1"/>
                  </w14:solidFill>
                </w14:textFill>
              </w:rPr>
              <w:t>具“从定价基准日至本次发行完成后</w:t>
            </w:r>
            <w:r>
              <w:rPr>
                <w:rFonts w:hint="eastAsia" w:ascii="仿宋_GB2312" w:hAnsi="仿宋_GB2312" w:eastAsia="仿宋_GB2312" w:cs="仿宋_GB2312"/>
                <w:color w:val="000000" w:themeColor="text1"/>
                <w14:textFill>
                  <w14:solidFill>
                    <w14:schemeClr w14:val="tx1"/>
                  </w14:solidFill>
                </w14:textFill>
              </w:rPr>
              <w:t>六个月内不减持发行人股份”的承</w:t>
            </w:r>
            <w:r>
              <w:rPr>
                <w:rFonts w:hint="eastAsia" w:ascii="仿宋_GB2312" w:hAnsi="仿宋_GB2312" w:eastAsia="仿宋_GB2312" w:cs="仿宋_GB2312"/>
                <w:color w:val="000000" w:themeColor="text1"/>
                <w:spacing w:val="-6"/>
                <w14:textFill>
                  <w14:solidFill>
                    <w14:schemeClr w14:val="tx1"/>
                  </w14:solidFill>
                </w14:textFill>
              </w:rPr>
              <w:t>诺；</w:t>
            </w:r>
            <w:r>
              <w:rPr>
                <w:rFonts w:hint="eastAsia" w:ascii="仿宋_GB2312" w:hAnsi="仿宋_GB2312" w:eastAsia="仿宋_GB2312" w:cs="仿宋_GB2312"/>
                <w:color w:val="000000" w:themeColor="text1"/>
                <w14:textFill>
                  <w14:solidFill>
                    <w14:schemeClr w14:val="tx1"/>
                  </w14:solidFill>
                </w14:textFill>
              </w:rPr>
              <w:t>认购对象的股权架构为两层以上且为无实际经营业务的公司的，应当穿透核查至最终持有人，说明是否存在违规持股、不当利益输送等情形，</w:t>
            </w:r>
            <w:r>
              <w:rPr>
                <w:rFonts w:hint="eastAsia" w:ascii="仿宋_GB2312" w:hAnsi="仿宋_GB2312" w:eastAsia="仿宋_GB2312" w:cs="仿宋_GB2312"/>
                <w:color w:val="000000" w:themeColor="text1"/>
                <w:spacing w:val="-6"/>
                <w14:textFill>
                  <w14:solidFill>
                    <w14:schemeClr w14:val="tx1"/>
                  </w14:solidFill>
                </w14:textFill>
              </w:rPr>
              <w:t>并就相关信息披露是否真实、准确、完整，是否能够有效维护公司及</w:t>
            </w:r>
            <w:r>
              <w:rPr>
                <w:rFonts w:hint="eastAsia" w:ascii="仿宋_GB2312" w:hAnsi="仿宋_GB2312" w:eastAsia="仿宋_GB2312" w:cs="仿宋_GB2312"/>
                <w:color w:val="000000" w:themeColor="text1"/>
                <w:spacing w:val="-10"/>
                <w14:textFill>
                  <w14:solidFill>
                    <w14:schemeClr w14:val="tx1"/>
                  </w14:solidFill>
                </w14:textFill>
              </w:rPr>
              <w:t>中小股东合法权益，是否符合相关规</w:t>
            </w:r>
            <w:r>
              <w:rPr>
                <w:rFonts w:hint="eastAsia" w:ascii="仿宋_GB2312" w:hAnsi="仿宋_GB2312" w:eastAsia="仿宋_GB2312" w:cs="仿宋_GB2312"/>
                <w:color w:val="000000" w:themeColor="text1"/>
                <w:spacing w:val="-6"/>
                <w14:textFill>
                  <w14:solidFill>
                    <w14:schemeClr w14:val="tx1"/>
                  </w14:solidFill>
                </w14:textFill>
              </w:rPr>
              <w:t>定在《发行保荐工作报告》中发表明</w:t>
            </w:r>
            <w:r>
              <w:rPr>
                <w:rFonts w:hint="eastAsia" w:ascii="仿宋_GB2312" w:hAnsi="仿宋_GB2312" w:eastAsia="仿宋_GB2312" w:cs="仿宋_GB2312"/>
                <w:color w:val="000000" w:themeColor="text1"/>
                <w14:textFill>
                  <w14:solidFill>
                    <w14:schemeClr w14:val="tx1"/>
                  </w14:solidFill>
                </w14:textFill>
              </w:rPr>
              <w:t>确意见。</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发行人律师应对上述事项进行核查，</w:t>
            </w:r>
            <w:r>
              <w:rPr>
                <w:rFonts w:hint="eastAsia" w:ascii="仿宋_GB2312" w:hAnsi="仿宋_GB2312" w:eastAsia="仿宋_GB2312" w:cs="仿宋_GB2312"/>
                <w:color w:val="000000" w:themeColor="text1"/>
                <w:spacing w:val="-2"/>
                <w14:textFill>
                  <w14:solidFill>
                    <w14:schemeClr w14:val="tx1"/>
                  </w14:solidFill>
                </w14:textFill>
              </w:rPr>
              <w:t>并在《律师工作报告》中发表明确意</w:t>
            </w:r>
            <w:r>
              <w:rPr>
                <w:rFonts w:hint="eastAsia" w:ascii="仿宋_GB2312" w:hAnsi="仿宋_GB2312" w:eastAsia="仿宋_GB2312" w:cs="仿宋_GB2312"/>
                <w:color w:val="000000" w:themeColor="text1"/>
                <w14:textFill>
                  <w14:solidFill>
                    <w14:schemeClr w14:val="tx1"/>
                  </w14:solidFill>
                </w14:textFill>
              </w:rPr>
              <w:t>见。</w:t>
            </w:r>
          </w:p>
          <w:p>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中介机构对认购对象进行核查时，应当关注是否涉及证监会系统离职人员入股的情况，是否存在离职人员不当入股的情形，并出具专项说明。</w:t>
            </w:r>
          </w:p>
        </w:tc>
        <w:tc>
          <w:tcPr>
            <w:tcW w:w="2487" w:type="dxa"/>
          </w:tcPr>
          <w:p>
            <w:pPr>
              <w:pStyle w:val="44"/>
              <w:tabs>
                <w:tab w:val="left" w:pos="382"/>
              </w:tabs>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《上市公司证券发行注册管理办法》第五十七条，《监管规则适用指引——发行类第6号》第九条</w:t>
            </w:r>
          </w:p>
        </w:tc>
      </w:tr>
    </w:tbl>
    <w:p>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1452"/>
        <w:gridCol w:w="4712"/>
        <w:gridCol w:w="4599"/>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三、关于合规性的相关问题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8"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452"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712"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599"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478"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3-1</w:t>
            </w:r>
          </w:p>
        </w:tc>
        <w:tc>
          <w:tcPr>
            <w:tcW w:w="1452" w:type="dxa"/>
            <w:vAlign w:val="center"/>
          </w:tcPr>
          <w:p>
            <w:pPr>
              <w:snapToGrid w:val="0"/>
              <w:jc w:val="left"/>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违法行为、资本市场失信惩戒相关信息核查</w:t>
            </w:r>
          </w:p>
        </w:tc>
        <w:tc>
          <w:tcPr>
            <w:tcW w:w="4712"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（1）现任董事、高级管理人员最近三年是否受到中国证监会行政处罚，或者最近一年受到证券交易所公开谴责；</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（2）发行人或者其现任董事、高级管理人员因涉嫌犯罪正在被司法机关立案侦查或者涉嫌违法违规正在被中国证监会立案调查；</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（3）发行人控股股东、实际控制人最近三年存在严重损害上市公司利益或者投资者合法权益的重大违法行为；</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（4）发行人最近三年存在严重损害投资者合法权益或者社会公共利益的重大违法行为。</w:t>
            </w:r>
          </w:p>
        </w:tc>
        <w:tc>
          <w:tcPr>
            <w:tcW w:w="4599" w:type="dxa"/>
            <w:vAlign w:val="top"/>
          </w:tcPr>
          <w:p>
            <w:pPr>
              <w:snapToGrid w:val="0"/>
              <w:ind w:right="0"/>
              <w:jc w:val="both"/>
              <w:rPr>
                <w:rFonts w:ascii="Times New Roman" w:hAnsi="Times New Roman" w:eastAsia="仿宋_GB2312"/>
                <w:color w:val="000000" w:themeColor="text1"/>
                <w:spacing w:val="-1"/>
                <w:sz w:val="24"/>
                <w14:textFill>
                  <w14:solidFill>
                    <w14:schemeClr w14:val="tx1"/>
                  </w14:solidFill>
                </w14:textFill>
              </w:rPr>
            </w:pPr>
            <w:r>
              <w:rPr>
                <w:rFonts w:hint="eastAsia" w:ascii="Times New Roman" w:hAnsi="Times New Roman" w:eastAsia="仿宋_GB2312" w:cs="Times New Roman"/>
                <w:color w:val="000000" w:themeColor="text1"/>
                <w:spacing w:val="-1"/>
                <w:sz w:val="24"/>
                <w:lang w:eastAsia="zh-CN"/>
                <w14:textFill>
                  <w14:solidFill>
                    <w14:schemeClr w14:val="tx1"/>
                  </w14:solidFill>
                </w14:textFill>
              </w:rPr>
              <w:t>（</w:t>
            </w:r>
            <w:r>
              <w:rPr>
                <w:rFonts w:hint="eastAsia" w:ascii="Times New Roman" w:hAnsi="Times New Roman" w:eastAsia="仿宋_GB2312" w:cs="Times New Roman"/>
                <w:color w:val="000000" w:themeColor="text1"/>
                <w:spacing w:val="-1"/>
                <w:sz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
                <w:sz w:val="24"/>
                <w:lang w:eastAsia="zh-CN"/>
                <w14:textFill>
                  <w14:solidFill>
                    <w14:schemeClr w14:val="tx1"/>
                  </w14:solidFill>
                </w14:textFill>
              </w:rPr>
              <w:t>）</w:t>
            </w:r>
            <w:r>
              <w:rPr>
                <w:rFonts w:ascii="Times New Roman" w:hAnsi="Times New Roman" w:eastAsia="仿宋_GB2312" w:cs="Times New Roman"/>
                <w:color w:val="000000" w:themeColor="text1"/>
                <w:spacing w:val="-1"/>
                <w:sz w:val="24"/>
                <w14:textFill>
                  <w14:solidFill>
                    <w14:schemeClr w14:val="tx1"/>
                  </w14:solidFill>
                </w14:textFill>
              </w:rPr>
              <w:t>保荐人应</w:t>
            </w:r>
            <w:r>
              <w:rPr>
                <w:rFonts w:hint="eastAsia" w:ascii="Times New Roman" w:hAnsi="Times New Roman" w:eastAsia="仿宋_GB2312" w:cs="Times New Roman"/>
                <w:color w:val="000000" w:themeColor="text1"/>
                <w:spacing w:val="-1"/>
                <w:sz w:val="24"/>
                <w14:textFill>
                  <w14:solidFill>
                    <w14:schemeClr w14:val="tx1"/>
                  </w14:solidFill>
                </w14:textFill>
              </w:rPr>
              <w:t>核查</w:t>
            </w:r>
            <w:r>
              <w:rPr>
                <w:rFonts w:ascii="Times New Roman" w:hAnsi="Times New Roman" w:eastAsia="仿宋_GB2312"/>
                <w:color w:val="000000" w:themeColor="text1"/>
                <w:spacing w:val="-1"/>
                <w:sz w:val="24"/>
                <w14:textFill>
                  <w14:solidFill>
                    <w14:schemeClr w14:val="tx1"/>
                  </w14:solidFill>
                </w14:textFill>
              </w:rPr>
              <w:t>相关事项的基本情况、最近进展、对发行人生产经营是否存在重大不利影响，相关行政处罚或其他违法行为是否属于严重损害上市公司利益、投资者合法权益、社会公共利益的重大违法行为</w:t>
            </w:r>
            <w:r>
              <w:rPr>
                <w:rFonts w:hint="eastAsia" w:ascii="Times New Roman" w:hAnsi="Times New Roman" w:eastAsia="仿宋_GB2312"/>
                <w:color w:val="000000" w:themeColor="text1"/>
                <w:spacing w:val="-1"/>
                <w:sz w:val="24"/>
                <w14:textFill>
                  <w14:solidFill>
                    <w14:schemeClr w14:val="tx1"/>
                  </w14:solidFill>
                </w14:textFill>
              </w:rPr>
              <w:t>，</w:t>
            </w:r>
            <w:r>
              <w:rPr>
                <w:rFonts w:ascii="Times New Roman" w:hAnsi="Times New Roman" w:eastAsia="仿宋_GB2312" w:cs="Times New Roman"/>
                <w:color w:val="000000" w:themeColor="text1"/>
                <w:spacing w:val="-1"/>
                <w:sz w:val="24"/>
                <w14:textFill>
                  <w14:solidFill>
                    <w14:schemeClr w14:val="tx1"/>
                  </w14:solidFill>
                </w14:textFill>
              </w:rPr>
              <w:t>并就相关事项是否构成本次发行的实质性障碍在《发行保荐工作报告》中发表明确意见。</w:t>
            </w:r>
            <w:r>
              <w:rPr>
                <w:rFonts w:ascii="Times New Roman" w:hAnsi="Times New Roman" w:eastAsia="仿宋_GB2312"/>
                <w:color w:val="000000" w:themeColor="text1"/>
                <w:spacing w:val="-1"/>
                <w:sz w:val="24"/>
                <w14:textFill>
                  <w14:solidFill>
                    <w14:schemeClr w14:val="tx1"/>
                  </w14:solidFill>
                </w14:textFill>
              </w:rPr>
              <w:t>发行人律师应对上述事项进行核查，并在《律师工作报告》中发表明确意见。</w:t>
            </w:r>
          </w:p>
          <w:p>
            <w:pPr>
              <w:snapToGrid/>
              <w:ind w:right="0"/>
              <w:jc w:val="both"/>
              <w:rPr>
                <w:rFonts w:hint="eastAsia" w:ascii="Times New Roman" w:hAnsi="Times New Roman" w:eastAsia="仿宋_GB2312" w:cs="仿宋"/>
                <w:color w:val="000000" w:themeColor="text1"/>
                <w:spacing w:val="-1"/>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eastAsia" w:eastAsia="仿宋_GB2312"/>
                <w:color w:val="000000" w:themeColor="text1"/>
                <w:spacing w:val="-1"/>
                <w:sz w:val="24"/>
                <w:lang w:eastAsia="zh-CN"/>
                <w14:textFill>
                  <w14:solidFill>
                    <w14:schemeClr w14:val="tx1"/>
                  </w14:solidFill>
                </w14:textFill>
              </w:rPr>
              <w:t>保荐人应当对实际控制人重大违法违规情况、规范运作意识情况、财务风险情况以及其他负面行为进行充分核查，对实际控制人的诚信意识和声誉资信等进行分析研判，并就相关问题是否对发行人控制权稳定性、公司治理规范性、生产经营等产生重大不利影响发表明确意见。在发行上市申请受理后，保荐人应当对实际控制人相关风险保持关注并履行好尽职调查责任，相关事项影响重大的，应当及时向本所报告，并按要求更新发行上市申请文件。</w:t>
            </w:r>
          </w:p>
        </w:tc>
        <w:tc>
          <w:tcPr>
            <w:tcW w:w="2478" w:type="dxa"/>
          </w:tcPr>
          <w:p>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《上市公司证券发行注册管理办法》第十一条，《证券期货法律适用意见第18号》第二条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3-2</w:t>
            </w:r>
          </w:p>
        </w:tc>
        <w:tc>
          <w:tcPr>
            <w:tcW w:w="1452" w:type="dxa"/>
            <w:vAlign w:val="center"/>
          </w:tcPr>
          <w:p>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同业竞争</w:t>
            </w:r>
          </w:p>
        </w:tc>
        <w:tc>
          <w:tcPr>
            <w:tcW w:w="4712" w:type="dxa"/>
          </w:tcPr>
          <w:p>
            <w:pPr>
              <w:numPr>
                <w:ilvl w:val="0"/>
                <w:numId w:val="0"/>
              </w:num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pPr>
              <w:numPr>
                <w:ilvl w:val="-1"/>
                <w:numId w:val="0"/>
              </w:numPr>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是否存在与控股股东、实际控制人及其控制的企业从事相同、相似业务的情况。对存在相同、相似业务的，发行人应当对是否存在同业竞争做出合理解释；</w:t>
            </w:r>
          </w:p>
          <w:p>
            <w:pPr>
              <w:numPr>
                <w:ilvl w:val="-1"/>
                <w:numId w:val="0"/>
              </w:numPr>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（2）对于已存在或可能存在的构成重大不利影响的同业竞争，发行人应当披露解决同业竞争的具体措施；</w:t>
            </w:r>
          </w:p>
          <w:p>
            <w:pPr>
              <w:numPr>
                <w:ilvl w:val="-1"/>
                <w:numId w:val="0"/>
              </w:numPr>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（3）结合目前经营情况、未来发展战略等，充分披露未来对构成新增同业竞争的资产、业务的安排,以及避免出现重大不利影响同业竞争的措施</w:t>
            </w:r>
            <w:r>
              <w:rPr>
                <w:rFonts w:hint="eastAsia" w:ascii="仿宋_GB2312" w:hAnsi="仿宋_GB2312" w:eastAsia="仿宋_GB2312" w:cs="仿宋_GB2312"/>
                <w:color w:val="000000" w:themeColor="text1"/>
                <w:lang w:eastAsia="zh-CN"/>
                <w14:textFill>
                  <w14:solidFill>
                    <w14:schemeClr w14:val="tx1"/>
                  </w14:solidFill>
                </w14:textFill>
              </w:rPr>
              <w:t>；</w:t>
            </w:r>
          </w:p>
          <w:p>
            <w:pPr>
              <w:numPr>
                <w:ilvl w:val="0"/>
                <w:numId w:val="0"/>
              </w:num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（4）独立董事对发行人是否存在同业竞争和避免同业竞争措施的有效性所发表的意见。</w:t>
            </w:r>
          </w:p>
        </w:tc>
        <w:tc>
          <w:tcPr>
            <w:tcW w:w="4599" w:type="dxa"/>
          </w:tcPr>
          <w:p>
            <w:pPr>
              <w:pStyle w:val="44"/>
              <w:snapToGrid w:val="0"/>
              <w:ind w:right="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核查发行人与控股股东、实际控制人及其控制的企业是否存在同业竞争，已存在的同业竞争是否构成重大不利影响,已存在的构成重大不利影响的同业竞争是否已制定解决方案并明确未来整合时间安排，已做出的关于避免或解决同业竞争承诺的履行情况及是否存在违反承诺的情形，是否损害上市公司利益,并</w:t>
            </w:r>
            <w:r>
              <w:rPr>
                <w:rFonts w:hint="eastAsia" w:ascii="仿宋_GB2312" w:hAnsi="仿宋_GB2312" w:eastAsia="仿宋_GB2312" w:cs="仿宋_GB2312"/>
                <w:color w:val="000000" w:themeColor="text1"/>
                <w:spacing w:val="-13"/>
                <w14:textFill>
                  <w14:solidFill>
                    <w14:schemeClr w14:val="tx1"/>
                  </w14:solidFill>
                </w14:textFill>
              </w:rPr>
              <w:t>在《发</w:t>
            </w:r>
            <w:r>
              <w:rPr>
                <w:rFonts w:hint="eastAsia" w:ascii="仿宋_GB2312" w:hAnsi="仿宋_GB2312" w:eastAsia="仿宋_GB2312" w:cs="仿宋_GB2312"/>
                <w:color w:val="000000" w:themeColor="text1"/>
                <w14:textFill>
                  <w14:solidFill>
                    <w14:schemeClr w14:val="tx1"/>
                  </w14:solidFill>
                </w14:textFill>
              </w:rPr>
              <w:t>行保荐工作报告》和</w:t>
            </w:r>
            <w:r>
              <w:rPr>
                <w:rFonts w:hint="eastAsia" w:ascii="仿宋_GB2312" w:hAnsi="仿宋_GB2312" w:eastAsia="仿宋_GB2312" w:cs="仿宋_GB2312"/>
                <w:color w:val="000000" w:themeColor="text1"/>
                <w:spacing w:val="-1"/>
                <w14:textFill>
                  <w14:solidFill>
                    <w14:schemeClr w14:val="tx1"/>
                  </w14:solidFill>
                </w14:textFill>
              </w:rPr>
              <w:t>《律师工作报告》</w:t>
            </w:r>
            <w:r>
              <w:rPr>
                <w:rFonts w:hint="eastAsia" w:ascii="仿宋_GB2312" w:hAnsi="仿宋_GB2312" w:eastAsia="仿宋_GB2312" w:cs="仿宋_GB2312"/>
                <w:color w:val="000000" w:themeColor="text1"/>
                <w14:textFill>
                  <w14:solidFill>
                    <w14:schemeClr w14:val="tx1"/>
                  </w14:solidFill>
                </w14:textFill>
              </w:rPr>
              <w:t>发表核查意见。</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保荐人及发行人律师应当核查募投项目实施后是否新增同业竞争,新增同业竞争是否构成重大不利影响，并</w:t>
            </w:r>
            <w:r>
              <w:rPr>
                <w:rFonts w:hint="eastAsia" w:ascii="仿宋_GB2312" w:hAnsi="仿宋_GB2312" w:eastAsia="仿宋_GB2312" w:cs="仿宋_GB2312"/>
                <w:color w:val="000000" w:themeColor="text1"/>
                <w:spacing w:val="-13"/>
                <w14:textFill>
                  <w14:solidFill>
                    <w14:schemeClr w14:val="tx1"/>
                  </w14:solidFill>
                </w14:textFill>
              </w:rPr>
              <w:t>在《发</w:t>
            </w:r>
            <w:r>
              <w:rPr>
                <w:rFonts w:hint="eastAsia" w:ascii="仿宋_GB2312" w:hAnsi="仿宋_GB2312" w:eastAsia="仿宋_GB2312" w:cs="仿宋_GB2312"/>
                <w:color w:val="000000" w:themeColor="text1"/>
                <w14:textFill>
                  <w14:solidFill>
                    <w14:schemeClr w14:val="tx1"/>
                  </w14:solidFill>
                </w14:textFill>
              </w:rPr>
              <w:t>行保荐工作报告》和</w:t>
            </w:r>
            <w:r>
              <w:rPr>
                <w:rFonts w:hint="eastAsia" w:ascii="仿宋_GB2312" w:hAnsi="仿宋_GB2312" w:eastAsia="仿宋_GB2312" w:cs="仿宋_GB2312"/>
                <w:color w:val="000000" w:themeColor="text1"/>
                <w:spacing w:val="-1"/>
                <w14:textFill>
                  <w14:solidFill>
                    <w14:schemeClr w14:val="tx1"/>
                  </w14:solidFill>
                </w14:textFill>
              </w:rPr>
              <w:t>《律师工作报告》</w:t>
            </w:r>
            <w:r>
              <w:rPr>
                <w:rFonts w:hint="eastAsia" w:ascii="仿宋_GB2312" w:hAnsi="仿宋_GB2312" w:eastAsia="仿宋_GB2312" w:cs="仿宋_GB2312"/>
                <w:color w:val="000000" w:themeColor="text1"/>
                <w14:textFill>
                  <w14:solidFill>
                    <w14:schemeClr w14:val="tx1"/>
                  </w14:solidFill>
                </w14:textFill>
              </w:rPr>
              <w:t>发表核查意见。</w:t>
            </w:r>
          </w:p>
        </w:tc>
        <w:tc>
          <w:tcPr>
            <w:tcW w:w="2478" w:type="dxa"/>
          </w:tcPr>
          <w:p>
            <w:pPr>
              <w:pStyle w:val="44"/>
              <w:tabs>
                <w:tab w:val="left" w:pos="382"/>
              </w:tabs>
              <w:snapToGrid w:val="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《上市公司证券发行注册管理办法》第十二条，《募集说明书格式准则》第二十二、二十九条，《监管规则适用指引——发行类第6号》第一条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3-3</w:t>
            </w:r>
          </w:p>
        </w:tc>
        <w:tc>
          <w:tcPr>
            <w:tcW w:w="1452" w:type="dxa"/>
            <w:vAlign w:val="center"/>
          </w:tcPr>
          <w:p>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关联交易</w:t>
            </w:r>
          </w:p>
        </w:tc>
        <w:tc>
          <w:tcPr>
            <w:tcW w:w="4712"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（1）本次发行是否构成关联交易；</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（2）本次发行完成后，发行人与发行对象及发行对象的控股股东和实际控制人可能存在的关联交易的情况，发行前后关联交易的变动情况。</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pStyle w:val="10"/>
              <w:rPr>
                <w:rFonts w:hint="eastAsia" w:ascii="仿宋_GB2312" w:hAnsi="仿宋_GB2312" w:eastAsia="仿宋_GB2312" w:cs="仿宋_GB2312"/>
                <w:color w:val="000000" w:themeColor="text1"/>
                <w14:textFill>
                  <w14:solidFill>
                    <w14:schemeClr w14:val="tx1"/>
                  </w14:solidFill>
                </w14:textFill>
              </w:rPr>
            </w:pPr>
          </w:p>
          <w:p>
            <w:pPr>
              <w:pStyle w:val="44"/>
              <w:widowControl w:val="0"/>
              <w:snapToGrid w:val="0"/>
              <w:ind w:right="109"/>
              <w:jc w:val="both"/>
              <w:rPr>
                <w:rFonts w:hint="eastAsia" w:ascii="仿宋_GB2312" w:hAnsi="仿宋_GB2312" w:eastAsia="仿宋_GB2312" w:cs="仿宋_GB2312"/>
                <w:bCs/>
                <w:color w:val="000000" w:themeColor="text1"/>
                <w14:textFill>
                  <w14:solidFill>
                    <w14:schemeClr w14:val="tx1"/>
                  </w14:solidFill>
                </w14:textFill>
              </w:rPr>
            </w:pPr>
          </w:p>
        </w:tc>
        <w:tc>
          <w:tcPr>
            <w:tcW w:w="4599"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对关联交易存在的必要性、合理性、决策程序的合法性、信息披露的规范性、关联交易价格的公允性、是否存在关联交易非关联化的情况，以及关联交易对发行人独立经营能力的影响等进行核查，并发表核查意见。</w:t>
            </w:r>
          </w:p>
          <w:p>
            <w:pPr>
              <w:pStyle w:val="44"/>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于募投项目新增关联交易的，保荐人、发行人律师、会计师应当结合新增关联交易的性质、定价依据，总体关联交易对应的收入、成本费用或利润总额占发行人相应指标的比例等论证是否属于显失公平的关联交易,本次募投项目的实施是否严重影响上市公司生产经营的独立性。保荐人和发行人律师应当详细说明其认定的主要事实和依据，并就是否违反发行人、控股股东和实际控制人已作出的关于规范和减少关联交易的承诺发表核查意见。</w:t>
            </w:r>
          </w:p>
        </w:tc>
        <w:tc>
          <w:tcPr>
            <w:tcW w:w="2478" w:type="dxa"/>
          </w:tcPr>
          <w:p>
            <w:pPr>
              <w:pStyle w:val="44"/>
              <w:tabs>
                <w:tab w:val="left" w:pos="382"/>
              </w:tabs>
              <w:snapToGrid w:val="0"/>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《上市公司证券发行注册管理办法》第十二条，《募集说明书格式准则》第十三条、二十二条、二十九条，《监管规则适用指引——发行类第6号》第二条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3-4</w:t>
            </w:r>
          </w:p>
        </w:tc>
        <w:tc>
          <w:tcPr>
            <w:tcW w:w="1452" w:type="dxa"/>
            <w:vAlign w:val="center"/>
          </w:tcPr>
          <w:p>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优先股</w:t>
            </w:r>
          </w:p>
        </w:tc>
        <w:tc>
          <w:tcPr>
            <w:tcW w:w="4712" w:type="dxa"/>
          </w:tcPr>
          <w:p>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发行人应披露：</w:t>
            </w:r>
          </w:p>
          <w:p>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（1）发行人及其附属公司是否存在违规对外提供担保且尚未解除的情形；</w:t>
            </w:r>
          </w:p>
          <w:p>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（2）发行人董事和高级管理人员符合法律、行政法规和规章规定的任职资格情况；</w:t>
            </w:r>
          </w:p>
          <w:p>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（3）是否存在可能严重影响公司持续经营的担保、诉讼、仲裁、市场重大质疑或其他重大事项。</w:t>
            </w:r>
          </w:p>
        </w:tc>
        <w:tc>
          <w:tcPr>
            <w:tcW w:w="4599"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保荐人、发行人律师应当按照《优先股试点管理办法》第十七条至第二十五条的要求，对上述事项进行核查并发表明确意见。</w:t>
            </w:r>
          </w:p>
        </w:tc>
        <w:tc>
          <w:tcPr>
            <w:tcW w:w="2478" w:type="dxa"/>
          </w:tcPr>
          <w:p>
            <w:pPr>
              <w:pStyle w:val="44"/>
              <w:tabs>
                <w:tab w:val="left" w:pos="382"/>
              </w:tabs>
              <w:snapToGrid w:val="0"/>
              <w:jc w:val="both"/>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《优先股试点管理办法》第十七条至第二十五条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3-5</w:t>
            </w:r>
          </w:p>
        </w:tc>
        <w:tc>
          <w:tcPr>
            <w:tcW w:w="1452" w:type="dxa"/>
            <w:vAlign w:val="center"/>
          </w:tcPr>
          <w:p>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股东会决议有效期</w:t>
            </w:r>
          </w:p>
        </w:tc>
        <w:tc>
          <w:tcPr>
            <w:tcW w:w="4712" w:type="dxa"/>
            <w:vAlign w:val="top"/>
          </w:tcPr>
          <w:p>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股东会通过本次发行议案之日起二个工作日内，发行人应当披露股东会决议公告。股东会决议应当包括决议的有效期。</w:t>
            </w:r>
          </w:p>
        </w:tc>
        <w:tc>
          <w:tcPr>
            <w:tcW w:w="4599" w:type="dxa"/>
            <w:vAlign w:val="top"/>
          </w:tcPr>
          <w:p>
            <w:pPr>
              <w:pStyle w:val="44"/>
              <w:snapToGrid w:val="0"/>
              <w:ind w:right="0" w:rightChars="0"/>
              <w:rPr>
                <w:rFonts w:hint="eastAsia" w:ascii="仿宋_GB2312" w:hAnsi="仿宋_GB2312" w:eastAsia="仿宋_GB2312" w:cs="仿宋_GB2312"/>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保荐</w:t>
            </w:r>
            <w:r>
              <w:rPr>
                <w:rFonts w:hint="eastAsia" w:ascii="仿宋_GB2312" w:hAnsi="仿宋_GB2312" w:eastAsia="仿宋_GB2312" w:cs="仿宋_GB2312"/>
                <w:color w:val="000000" w:themeColor="text1"/>
                <w:sz w:val="24"/>
                <w:szCs w:val="24"/>
                <w:lang w:eastAsia="zh-CN"/>
                <w14:textFill>
                  <w14:solidFill>
                    <w14:schemeClr w14:val="tx1"/>
                  </w14:solidFill>
                </w14:textFill>
              </w:rPr>
              <w:t>人</w:t>
            </w:r>
            <w:r>
              <w:rPr>
                <w:rFonts w:hint="eastAsia" w:ascii="仿宋_GB2312" w:hAnsi="仿宋_GB2312" w:eastAsia="仿宋_GB2312" w:cs="仿宋_GB2312"/>
                <w:color w:val="000000" w:themeColor="text1"/>
                <w:sz w:val="24"/>
                <w:szCs w:val="24"/>
                <w14:textFill>
                  <w14:solidFill>
                    <w14:schemeClr w14:val="tx1"/>
                  </w14:solidFill>
                </w14:textFill>
              </w:rPr>
              <w:t>及发行人律师应当</w:t>
            </w:r>
            <w:r>
              <w:rPr>
                <w:rFonts w:hint="eastAsia" w:ascii="仿宋_GB2312" w:hAnsi="仿宋_GB2312" w:eastAsia="仿宋_GB2312" w:cs="仿宋_GB2312"/>
                <w:color w:val="000000" w:themeColor="text1"/>
                <w:sz w:val="24"/>
                <w:szCs w:val="24"/>
                <w:lang w:eastAsia="zh-CN"/>
                <w14:textFill>
                  <w14:solidFill>
                    <w14:schemeClr w14:val="tx1"/>
                  </w14:solidFill>
                </w14:textFill>
              </w:rPr>
              <w:t>核查本次再融资的股东会决议内容及其决议的有效期，设置自动延期条款的，应当予以规范。发行人再次召开董事会、股东会对本次再融资的股东会决议进行延期的，保荐人及发行人律师应当</w:t>
            </w:r>
            <w:r>
              <w:rPr>
                <w:rFonts w:hint="eastAsia" w:ascii="仿宋_GB2312" w:hAnsi="仿宋_GB2312" w:eastAsia="仿宋_GB2312" w:cs="仿宋_GB2312"/>
                <w:color w:val="000000" w:themeColor="text1"/>
                <w:sz w:val="24"/>
                <w:szCs w:val="24"/>
                <w14:textFill>
                  <w14:solidFill>
                    <w14:schemeClr w14:val="tx1"/>
                  </w14:solidFill>
                </w14:textFill>
              </w:rPr>
              <w:t>就董事会、</w:t>
            </w:r>
            <w:r>
              <w:rPr>
                <w:rFonts w:hint="eastAsia" w:ascii="仿宋_GB2312" w:hAnsi="仿宋_GB2312" w:eastAsia="仿宋_GB2312" w:cs="仿宋_GB2312"/>
                <w:color w:val="000000" w:themeColor="text1"/>
                <w:sz w:val="24"/>
                <w:szCs w:val="24"/>
                <w:lang w:eastAsia="zh-CN"/>
                <w14:textFill>
                  <w14:solidFill>
                    <w14:schemeClr w14:val="tx1"/>
                  </w14:solidFill>
                </w14:textFill>
              </w:rPr>
              <w:t>股东会履行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程序及</w:t>
            </w:r>
            <w:r>
              <w:rPr>
                <w:rFonts w:hint="eastAsia" w:ascii="仿宋_GB2312" w:hAnsi="仿宋_GB2312" w:eastAsia="仿宋_GB2312" w:cs="仿宋_GB2312"/>
                <w:color w:val="000000" w:themeColor="text1"/>
                <w:sz w:val="24"/>
                <w:szCs w:val="24"/>
                <w14:textFill>
                  <w14:solidFill>
                    <w14:schemeClr w14:val="tx1"/>
                  </w14:solidFill>
                </w14:textFill>
              </w:rPr>
              <w:t>决议时间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新的决议效力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公司有无发生重大变化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是否损害公众股东利益发表</w:t>
            </w:r>
            <w:r>
              <w:rPr>
                <w:rFonts w:hint="eastAsia" w:ascii="仿宋_GB2312" w:hAnsi="仿宋_GB2312" w:eastAsia="仿宋_GB2312" w:cs="仿宋_GB2312"/>
                <w:color w:val="000000" w:themeColor="text1"/>
                <w:sz w:val="24"/>
                <w:szCs w:val="24"/>
                <w:lang w:eastAsia="zh-CN"/>
                <w14:textFill>
                  <w14:solidFill>
                    <w14:schemeClr w14:val="tx1"/>
                  </w14:solidFill>
                </w14:textFill>
              </w:rPr>
              <w:t>明确</w:t>
            </w:r>
            <w:r>
              <w:rPr>
                <w:rFonts w:hint="eastAsia" w:ascii="仿宋_GB2312" w:hAnsi="仿宋_GB2312" w:eastAsia="仿宋_GB2312" w:cs="仿宋_GB2312"/>
                <w:color w:val="000000" w:themeColor="text1"/>
                <w:sz w:val="24"/>
                <w:szCs w:val="24"/>
                <w14:textFill>
                  <w14:solidFill>
                    <w14:schemeClr w14:val="tx1"/>
                  </w14:solidFill>
                </w14:textFill>
              </w:rPr>
              <w:t>意见。</w:t>
            </w:r>
          </w:p>
        </w:tc>
        <w:tc>
          <w:tcPr>
            <w:tcW w:w="2478" w:type="dxa"/>
            <w:vAlign w:val="top"/>
          </w:tcPr>
          <w:p>
            <w:pPr>
              <w:pStyle w:val="44"/>
              <w:tabs>
                <w:tab w:val="left" w:pos="382"/>
              </w:tabs>
              <w:snapToGrid w:val="0"/>
              <w:jc w:val="both"/>
              <w:rPr>
                <w:rFonts w:hint="eastAsia" w:ascii="仿宋_GB2312" w:hAnsi="仿宋_GB2312" w:eastAsia="仿宋_GB2312" w:cs="仿宋_GB2312"/>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《上市公司证券发行注册管理办法》第十八条、第四十二条，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监管规则适用指引——发行类第6号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pPr>
              <w:snapToGrid w:val="0"/>
              <w:jc w:val="cente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3-6</w:t>
            </w:r>
          </w:p>
        </w:tc>
        <w:tc>
          <w:tcPr>
            <w:tcW w:w="1452" w:type="dxa"/>
            <w:vAlign w:val="center"/>
          </w:tcPr>
          <w:p>
            <w:pPr>
              <w:snapToGrid w:val="0"/>
              <w:jc w:val="both"/>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股份质押</w:t>
            </w:r>
          </w:p>
        </w:tc>
        <w:tc>
          <w:tcPr>
            <w:tcW w:w="4712" w:type="dxa"/>
            <w:vAlign w:val="top"/>
          </w:tcPr>
          <w:p>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发行人应披露：</w:t>
            </w:r>
          </w:p>
          <w:p>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（1）股权结构、控股股东及实际控制人情况；</w:t>
            </w:r>
          </w:p>
          <w:p>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（2）对公司经营稳定性及未来发展可能产生重大不利影响的因素等。</w:t>
            </w:r>
          </w:p>
        </w:tc>
        <w:tc>
          <w:tcPr>
            <w:tcW w:w="4599" w:type="dxa"/>
            <w:vAlign w:val="top"/>
          </w:tcPr>
          <w:p>
            <w:pPr>
              <w:pStyle w:val="44"/>
              <w:numPr>
                <w:ilvl w:val="0"/>
                <w:numId w:val="0"/>
              </w:numPr>
              <w:snapToGrid w:val="0"/>
              <w:ind w:left="0" w:leftChars="0" w:right="0" w:rightChars="0" w:firstLine="0" w:firstLineChars="0"/>
              <w:jc w:val="both"/>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保荐</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人</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及发行人律师应当对控股股东或实际控制人所持发行人股份被质押的情况进行核查并发表意见</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如存在大比例质押情形</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应当结合质押的原因及合理性、质押资金具体用途、约定的质权实现情形、控股股东和实际控制人的财务状况和清偿能力、股价变动情况等,说明是否存在较大的平仓风险</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是否可能导致控股股东、实际控制人发生变更,并说明控股股东、实际控制人维持控制权稳定性的相关措施。如控股股东、实际控制人确实难以维持控制权稳定性的</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应当充分说明控制权可能发生变化(如债务清偿的到期日、债权人已经采取的法律行动等)的时限、可能的处置方案等</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以及对发行人持续经营能力的影响。</w:t>
            </w:r>
          </w:p>
        </w:tc>
        <w:tc>
          <w:tcPr>
            <w:tcW w:w="2478" w:type="dxa"/>
            <w:vAlign w:val="top"/>
          </w:tcPr>
          <w:p>
            <w:pPr>
              <w:pStyle w:val="44"/>
              <w:tabs>
                <w:tab w:val="left" w:pos="382"/>
              </w:tabs>
              <w:snapToGrid w:val="0"/>
              <w:jc w:val="both"/>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《募集说明书格式准则》</w:t>
            </w:r>
            <w:r>
              <w:rPr>
                <w:rFonts w:hint="eastAsia" w:ascii="仿宋_GB2312" w:hAnsi="仿宋_GB2312" w:eastAsia="仿宋_GB2312" w:cs="仿宋_GB2312"/>
                <w:color w:val="000000" w:themeColor="text1"/>
                <w:sz w:val="24"/>
                <w:lang w:val="en-US" w:eastAsia="zh-CN"/>
                <w14:textFill>
                  <w14:solidFill>
                    <w14:schemeClr w14:val="tx1"/>
                  </w14:solidFill>
                </w14:textFill>
              </w:rPr>
              <w:t>第八条、第二十四条，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监管规则适用指引——发行类第6号</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第十一条</w:t>
            </w:r>
          </w:p>
        </w:tc>
      </w:tr>
    </w:tbl>
    <w:p>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1276"/>
        <w:gridCol w:w="4604"/>
        <w:gridCol w:w="4506"/>
        <w:gridCol w:w="2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四、关于业务及经营情况的相关问题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82"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276"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604"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506"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581" w:type="dxa"/>
            <w:vAlign w:val="center"/>
          </w:tcPr>
          <w:p>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4-1</w:t>
            </w:r>
          </w:p>
        </w:tc>
        <w:tc>
          <w:tcPr>
            <w:tcW w:w="1276" w:type="dxa"/>
            <w:vAlign w:val="center"/>
          </w:tcPr>
          <w:p>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业务经营情况</w:t>
            </w:r>
          </w:p>
        </w:tc>
        <w:tc>
          <w:tcPr>
            <w:tcW w:w="4604" w:type="dxa"/>
          </w:tcPr>
          <w:p>
            <w:pPr>
              <w:pStyle w:val="44"/>
              <w:widowControl w:val="0"/>
              <w:snapToGrid w:val="0"/>
              <w:ind w:right="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发行人应披露：</w:t>
            </w:r>
          </w:p>
          <w:p>
            <w:pPr>
              <w:pStyle w:val="44"/>
              <w:widowControl w:val="0"/>
              <w:numPr>
                <w:ilvl w:val="-1"/>
                <w:numId w:val="0"/>
              </w:numPr>
              <w:snapToGrid w:val="0"/>
              <w:ind w:right="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lang w:val="en-US" w:eastAsia="zh-CN"/>
                <w14:textFill>
                  <w14:solidFill>
                    <w14:schemeClr w14:val="tx1"/>
                  </w14:solidFill>
                </w14:textFill>
              </w:rPr>
              <w:t>1</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14:textFill>
                  <w14:solidFill>
                    <w14:schemeClr w14:val="tx1"/>
                  </w14:solidFill>
                </w14:textFill>
              </w:rPr>
              <w:t>所处行业的</w:t>
            </w:r>
            <w:r>
              <w:rPr>
                <w:rFonts w:hint="eastAsia" w:ascii="仿宋_GB2312" w:hAnsi="仿宋_GB2312" w:eastAsia="仿宋_GB2312" w:cs="仿宋_GB2312"/>
                <w:color w:val="000000" w:themeColor="text1"/>
                <w:spacing w:val="-1"/>
                <w:lang w:eastAsia="zh-CN"/>
                <w14:textFill>
                  <w14:solidFill>
                    <w14:schemeClr w14:val="tx1"/>
                  </w14:solidFill>
                </w14:textFill>
              </w:rPr>
              <w:t>主要特点及行业竞争情况</w:t>
            </w:r>
            <w:r>
              <w:rPr>
                <w:rFonts w:hint="eastAsia" w:ascii="仿宋_GB2312" w:hAnsi="仿宋_GB2312" w:eastAsia="仿宋_GB2312" w:cs="仿宋_GB2312"/>
                <w:color w:val="000000" w:themeColor="text1"/>
                <w:spacing w:val="-1"/>
                <w14:textFill>
                  <w14:solidFill>
                    <w14:schemeClr w14:val="tx1"/>
                  </w14:solidFill>
                </w14:textFill>
              </w:rPr>
              <w:t>；</w:t>
            </w:r>
          </w:p>
          <w:p>
            <w:pPr>
              <w:pStyle w:val="44"/>
              <w:widowControl w:val="0"/>
              <w:snapToGrid w:val="0"/>
              <w:ind w:right="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（2）</w:t>
            </w:r>
            <w:r>
              <w:rPr>
                <w:rFonts w:hint="eastAsia" w:ascii="仿宋_GB2312" w:hAnsi="仿宋_GB2312" w:eastAsia="仿宋_GB2312" w:cs="仿宋_GB2312"/>
                <w:color w:val="000000" w:themeColor="text1"/>
                <w:spacing w:val="-1"/>
                <w:lang w:eastAsia="zh-CN"/>
                <w14:textFill>
                  <w14:solidFill>
                    <w14:schemeClr w14:val="tx1"/>
                  </w14:solidFill>
                </w14:textFill>
              </w:rPr>
              <w:t>主要业务模式、产品或服务的主要内容</w:t>
            </w:r>
            <w:r>
              <w:rPr>
                <w:rFonts w:hint="eastAsia" w:ascii="仿宋_GB2312" w:hAnsi="仿宋_GB2312" w:eastAsia="仿宋_GB2312" w:cs="仿宋_GB2312"/>
                <w:color w:val="000000" w:themeColor="text1"/>
                <w:spacing w:val="-1"/>
                <w14:textFill>
                  <w14:solidFill>
                    <w14:schemeClr w14:val="tx1"/>
                  </w14:solidFill>
                </w14:textFill>
              </w:rPr>
              <w:t>；</w:t>
            </w:r>
          </w:p>
          <w:p>
            <w:pPr>
              <w:pStyle w:val="44"/>
              <w:widowControl w:val="0"/>
              <w:snapToGrid w:val="0"/>
              <w:ind w:right="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（3）</w:t>
            </w:r>
            <w:r>
              <w:rPr>
                <w:rFonts w:hint="eastAsia" w:ascii="仿宋_GB2312" w:hAnsi="仿宋_GB2312" w:eastAsia="仿宋_GB2312" w:cs="仿宋_GB2312"/>
                <w:color w:val="000000" w:themeColor="text1"/>
                <w:spacing w:val="-1"/>
                <w:lang w:eastAsia="zh-CN"/>
                <w14:textFill>
                  <w14:solidFill>
                    <w14:schemeClr w14:val="tx1"/>
                  </w14:solidFill>
                </w14:textFill>
              </w:rPr>
              <w:t>现有业务发展安排及未来发展战略等。</w:t>
            </w:r>
          </w:p>
        </w:tc>
        <w:tc>
          <w:tcPr>
            <w:tcW w:w="4506"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保荐人</w:t>
            </w:r>
            <w:r>
              <w:rPr>
                <w:rFonts w:hint="eastAsia" w:ascii="仿宋_GB2312" w:hAnsi="仿宋_GB2312" w:eastAsia="仿宋_GB2312" w:cs="仿宋_GB2312"/>
                <w:color w:val="000000" w:themeColor="text1"/>
                <w:spacing w:val="-1"/>
                <w14:textFill>
                  <w14:solidFill>
                    <w14:schemeClr w14:val="tx1"/>
                  </w14:solidFill>
                </w14:textFill>
              </w:rPr>
              <w:t>对相关事项进行核查，并</w:t>
            </w:r>
            <w:r>
              <w:rPr>
                <w:rFonts w:hint="eastAsia" w:ascii="仿宋_GB2312" w:hAnsi="仿宋_GB2312" w:eastAsia="仿宋_GB2312" w:cs="仿宋_GB2312"/>
                <w:color w:val="000000" w:themeColor="text1"/>
                <w14:textFill>
                  <w14:solidFill>
                    <w14:schemeClr w14:val="tx1"/>
                  </w14:solidFill>
                </w14:textFill>
              </w:rPr>
              <w:t>督促发行人披露对投资者作出价值判断和投资决策所必</w:t>
            </w:r>
            <w:r>
              <w:rPr>
                <w:rFonts w:hint="eastAsia" w:ascii="仿宋_GB2312" w:hAnsi="仿宋_GB2312" w:eastAsia="仿宋_GB2312" w:cs="仿宋_GB2312"/>
                <w:color w:val="000000" w:themeColor="text1"/>
                <w:spacing w:val="-6"/>
                <w14:textFill>
                  <w14:solidFill>
                    <w14:schemeClr w14:val="tx1"/>
                  </w14:solidFill>
                </w14:textFill>
              </w:rPr>
              <w:t>需的信息，确保相关信息的真实、准确、完整，简明清晰、通俗易懂，不</w:t>
            </w:r>
            <w:r>
              <w:rPr>
                <w:rFonts w:hint="eastAsia" w:ascii="仿宋_GB2312" w:hAnsi="仿宋_GB2312" w:eastAsia="仿宋_GB2312" w:cs="仿宋_GB2312"/>
                <w:color w:val="000000" w:themeColor="text1"/>
                <w:spacing w:val="-10"/>
                <w14:textFill>
                  <w14:solidFill>
                    <w14:schemeClr w14:val="tx1"/>
                  </w14:solidFill>
                </w14:textFill>
              </w:rPr>
              <w:t>得有虚假记载、误导性陈述或者重大</w:t>
            </w:r>
            <w:r>
              <w:rPr>
                <w:rFonts w:hint="eastAsia" w:ascii="仿宋_GB2312" w:hAnsi="仿宋_GB2312" w:eastAsia="仿宋_GB2312" w:cs="仿宋_GB2312"/>
                <w:color w:val="000000" w:themeColor="text1"/>
                <w14:textFill>
                  <w14:solidFill>
                    <w14:schemeClr w14:val="tx1"/>
                  </w14:solidFill>
                </w14:textFill>
              </w:rPr>
              <w:t>遗漏。</w:t>
            </w:r>
          </w:p>
          <w:p>
            <w:pPr>
              <w:pStyle w:val="44"/>
              <w:snapToGrid w:val="0"/>
              <w:rPr>
                <w:rFonts w:hint="eastAsia" w:ascii="仿宋_GB2312" w:hAnsi="仿宋_GB2312" w:eastAsia="仿宋_GB2312" w:cs="仿宋_GB2312"/>
                <w:color w:val="000000" w:themeColor="text1"/>
                <w14:textFill>
                  <w14:solidFill>
                    <w14:schemeClr w14:val="tx1"/>
                  </w14:solidFill>
                </w14:textFill>
              </w:rPr>
            </w:pPr>
          </w:p>
        </w:tc>
        <w:tc>
          <w:tcPr>
            <w:tcW w:w="2581" w:type="dxa"/>
          </w:tcPr>
          <w:p>
            <w:pPr>
              <w:pStyle w:val="44"/>
              <w:tabs>
                <w:tab w:val="left" w:pos="382"/>
              </w:tabs>
              <w:snapToGrid w:val="0"/>
              <w:jc w:val="both"/>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《上市公司证券发行注册管理办法》第五条、第六条、第七条、第三十八条、</w:t>
            </w:r>
            <w:r>
              <w:rPr>
                <w:rFonts w:hint="eastAsia" w:ascii="仿宋_GB2312" w:hAnsi="仿宋_GB2312" w:eastAsia="仿宋_GB2312" w:cs="仿宋_GB2312"/>
                <w:color w:val="000000" w:themeColor="text1"/>
                <w:spacing w:val="-1"/>
                <w14:textFill>
                  <w14:solidFill>
                    <w14:schemeClr w14:val="tx1"/>
                  </w14:solidFill>
                </w14:textFill>
              </w:rPr>
              <w:t>第四十条</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《募集说明书格式准则》</w:t>
            </w:r>
            <w:r>
              <w:rPr>
                <w:rFonts w:hint="eastAsia" w:ascii="仿宋_GB2312" w:hAnsi="仿宋_GB2312" w:eastAsia="仿宋_GB2312" w:cs="仿宋_GB2312"/>
                <w:color w:val="000000" w:themeColor="text1"/>
                <w:sz w:val="24"/>
                <w:lang w:val="en-US" w:eastAsia="zh-CN"/>
                <w14:textFill>
                  <w14:solidFill>
                    <w14:schemeClr w14:val="tx1"/>
                  </w14:solidFill>
                </w14:textFill>
              </w:rPr>
              <w:t>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4-2</w:t>
            </w:r>
          </w:p>
        </w:tc>
        <w:tc>
          <w:tcPr>
            <w:tcW w:w="1276" w:type="dxa"/>
            <w:vAlign w:val="center"/>
          </w:tcPr>
          <w:p>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财务性投资</w:t>
            </w:r>
          </w:p>
        </w:tc>
        <w:tc>
          <w:tcPr>
            <w:tcW w:w="4604" w:type="dxa"/>
          </w:tcPr>
          <w:p>
            <w:pPr>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结合财务性投资的认定、本次发行董事会决议日前六个月至本次发行前新投入和拟投入的财务性投资金额及扣除情况，披露截至最近一期末，持有财务性投资余额的具体明细、持有原因及未来处置计划，不存在金额较大的财务性投资的基本情况。</w:t>
            </w:r>
          </w:p>
          <w:p>
            <w:pPr>
              <w:pStyle w:val="44"/>
              <w:tabs>
                <w:tab w:val="left" w:pos="709"/>
              </w:tabs>
              <w:snapToGrid w:val="0"/>
              <w:rPr>
                <w:rFonts w:hint="eastAsia" w:ascii="仿宋_GB2312" w:hAnsi="仿宋_GB2312" w:eastAsia="仿宋_GB2312" w:cs="仿宋_GB2312"/>
                <w:color w:val="000000" w:themeColor="text1"/>
                <w14:textFill>
                  <w14:solidFill>
                    <w14:schemeClr w14:val="tx1"/>
                  </w14:solidFill>
                </w14:textFill>
              </w:rPr>
            </w:pPr>
          </w:p>
        </w:tc>
        <w:tc>
          <w:tcPr>
            <w:tcW w:w="4506" w:type="dxa"/>
          </w:tcPr>
          <w:p>
            <w:p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会计师及发行人律师应结合投资背景、投资目的、投资期限、形成过程、业务协同、投资对象的对外投资情况等，就发行人对外投资是否属于财务性投资以及截至最近一期末是否存在金额较大的财务性投资，本次发行董事会决议日前六个月至本次发行前新投入和拟投入的财务性投资金额及扣除金额及时间，是否符合《证券期货法律适用意见第18号）》第一条的相关要求发表明确意见。</w:t>
            </w:r>
          </w:p>
          <w:p>
            <w:p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会计师应当按照上述要求出具专项说明文件并发表明确意见。</w:t>
            </w:r>
          </w:p>
        </w:tc>
        <w:tc>
          <w:tcPr>
            <w:tcW w:w="2581" w:type="dxa"/>
          </w:tcPr>
          <w:p>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《募集说明书格式准则》第八条，《证券期货法律适用意见第18号》第一条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4-3</w:t>
            </w:r>
          </w:p>
        </w:tc>
        <w:tc>
          <w:tcPr>
            <w:tcW w:w="1276" w:type="dxa"/>
            <w:vAlign w:val="center"/>
          </w:tcPr>
          <w:p>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类金融业务</w:t>
            </w:r>
          </w:p>
        </w:tc>
        <w:tc>
          <w:tcPr>
            <w:tcW w:w="4604"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发行人应披露募集资金未直接或变相用于类金融业务的情况。</w:t>
            </w:r>
          </w:p>
        </w:tc>
        <w:tc>
          <w:tcPr>
            <w:tcW w:w="4506" w:type="dxa"/>
          </w:tcPr>
          <w:p>
            <w:pPr>
              <w:tabs>
                <w:tab w:val="left" w:pos="708"/>
              </w:tabs>
              <w:autoSpaceDE/>
              <w:autoSpaceDN/>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就发行人最近一年一期类金融业务的内容、模式、规模等基本情况及相关风险、债务偿付能力及经营合规性进行核查并就类金融业务是否符合《监管规则适用指引——发行类第7号》第一条的相关要求在《发行保荐工作报告》中发表明确意见。若认定类金融业务属于暂不纳入类金融计算口径，但类金融业收入或净利润占比超过30%的，应审慎核查并发表明确意见。</w:t>
            </w:r>
          </w:p>
          <w:p>
            <w:pPr>
              <w:tabs>
                <w:tab w:val="left" w:pos="708"/>
              </w:tabs>
              <w:autoSpaceDE w:val="0"/>
              <w:autoSpaceDN w:val="0"/>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发行人律师应就发行人最近一年一期类金融业务的经营合规性进行核查，并在《律师工作报告》中发表明确意见。</w:t>
            </w:r>
          </w:p>
        </w:tc>
        <w:tc>
          <w:tcPr>
            <w:tcW w:w="2581" w:type="dxa"/>
          </w:tcPr>
          <w:p>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《监管规则适用指引——发行类第7号》第一条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4-4</w:t>
            </w:r>
          </w:p>
        </w:tc>
        <w:tc>
          <w:tcPr>
            <w:tcW w:w="1276" w:type="dxa"/>
            <w:vAlign w:val="center"/>
          </w:tcPr>
          <w:p>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影响公司核心竞争力、经营稳定性及未来发</w:t>
            </w:r>
            <w:r>
              <w:rPr>
                <w:rFonts w:hint="eastAsia" w:ascii="仿宋_GB2312" w:hAnsi="仿宋_GB2312" w:eastAsia="仿宋_GB2312" w:cs="仿宋_GB2312"/>
                <w:b/>
                <w:bCs/>
                <w:color w:val="000000" w:themeColor="text1"/>
                <w14:textFill>
                  <w14:solidFill>
                    <w14:schemeClr w14:val="tx1"/>
                  </w14:solidFill>
                </w14:textFill>
              </w:rPr>
              <w:t>展的重大风险</w:t>
            </w:r>
          </w:p>
        </w:tc>
        <w:tc>
          <w:tcPr>
            <w:tcW w:w="4604" w:type="dxa"/>
          </w:tcPr>
          <w:p>
            <w:pPr>
              <w:pStyle w:val="44"/>
              <w:snapToGrid w:val="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发行人应以投资者需求为导向，有针对性地披露业务</w:t>
            </w:r>
            <w:r>
              <w:rPr>
                <w:rFonts w:hint="eastAsia" w:ascii="仿宋_GB2312" w:hAnsi="仿宋_GB2312" w:eastAsia="仿宋_GB2312" w:cs="仿宋_GB2312"/>
                <w:color w:val="000000" w:themeColor="text1"/>
                <w:spacing w:val="-2"/>
                <w14:textFill>
                  <w14:solidFill>
                    <w14:schemeClr w14:val="tx1"/>
                  </w14:solidFill>
                </w14:textFill>
              </w:rPr>
              <w:t>模式、公司治理、发展战略、经营政策、</w:t>
            </w:r>
            <w:r>
              <w:rPr>
                <w:rFonts w:hint="eastAsia" w:ascii="仿宋_GB2312" w:hAnsi="仿宋_GB2312" w:eastAsia="仿宋_GB2312" w:cs="仿宋_GB2312"/>
                <w:color w:val="000000" w:themeColor="text1"/>
                <w14:textFill>
                  <w14:solidFill>
                    <w14:schemeClr w14:val="tx1"/>
                  </w14:solidFill>
                </w14:textFill>
              </w:rPr>
              <w:t>会计政策、财务状况分析等信息，并充分揭示可能对公司产生重大不利影响的风险因素。</w:t>
            </w:r>
          </w:p>
        </w:tc>
        <w:tc>
          <w:tcPr>
            <w:tcW w:w="4506"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保荐人应对相关风险事项进行核</w:t>
            </w:r>
            <w:r>
              <w:rPr>
                <w:rFonts w:hint="eastAsia" w:ascii="仿宋_GB2312" w:hAnsi="仿宋_GB2312" w:eastAsia="仿宋_GB2312" w:cs="仿宋_GB2312"/>
                <w:color w:val="000000" w:themeColor="text1"/>
                <w:spacing w:val="-1"/>
                <w14:textFill>
                  <w14:solidFill>
                    <w14:schemeClr w14:val="tx1"/>
                  </w14:solidFill>
                </w14:textFill>
              </w:rPr>
              <w:t>查，就相关事项对发行人持续经营、</w:t>
            </w:r>
            <w:r>
              <w:rPr>
                <w:rFonts w:hint="eastAsia" w:ascii="仿宋_GB2312" w:hAnsi="仿宋_GB2312" w:eastAsia="仿宋_GB2312" w:cs="仿宋_GB2312"/>
                <w:color w:val="000000" w:themeColor="text1"/>
                <w14:textFill>
                  <w14:solidFill>
                    <w14:schemeClr w14:val="tx1"/>
                  </w14:solidFill>
                </w14:textFill>
              </w:rPr>
              <w:t>本次发行是否构成重大影响发表明确意见。</w:t>
            </w:r>
          </w:p>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保荐人应督促发行人在募集说明书</w:t>
            </w:r>
            <w:r>
              <w:rPr>
                <w:rFonts w:hint="eastAsia" w:ascii="仿宋_GB2312" w:hAnsi="仿宋_GB2312" w:eastAsia="仿宋_GB2312" w:cs="仿宋_GB2312"/>
                <w:color w:val="000000" w:themeColor="text1"/>
                <w:spacing w:val="-9"/>
                <w14:textFill>
                  <w14:solidFill>
                    <w14:schemeClr w14:val="tx1"/>
                  </w14:solidFill>
                </w14:textFill>
              </w:rPr>
              <w:t>扉页重大事项提示中，充分披露与发</w:t>
            </w:r>
            <w:r>
              <w:rPr>
                <w:rFonts w:hint="eastAsia" w:ascii="仿宋_GB2312" w:hAnsi="仿宋_GB2312" w:eastAsia="仿宋_GB2312" w:cs="仿宋_GB2312"/>
                <w:color w:val="000000" w:themeColor="text1"/>
                <w:spacing w:val="-1"/>
                <w14:textFill>
                  <w14:solidFill>
                    <w14:schemeClr w14:val="tx1"/>
                  </w14:solidFill>
                </w14:textFill>
              </w:rPr>
              <w:t>行人自身密切相关的重要风险因素，</w:t>
            </w:r>
            <w:r>
              <w:rPr>
                <w:rFonts w:hint="eastAsia" w:ascii="仿宋_GB2312" w:hAnsi="仿宋_GB2312" w:eastAsia="仿宋_GB2312" w:cs="仿宋_GB2312"/>
                <w:color w:val="000000" w:themeColor="text1"/>
                <w14:textFill>
                  <w14:solidFill>
                    <w14:schemeClr w14:val="tx1"/>
                  </w14:solidFill>
                </w14:textFill>
              </w:rPr>
              <w:t>并按对投资者作出价值判断和投资决策所需信息的重要程度进行梳理排序。</w:t>
            </w:r>
          </w:p>
          <w:p>
            <w:pPr>
              <w:pStyle w:val="44"/>
              <w:snapToGrid w:val="0"/>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发行人最近一年（期）业绩下滑的，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比如</w:t>
            </w: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扣非前或扣非后合并口径归属于母公司的净利润同比下降</w:t>
            </w:r>
            <w:r>
              <w:rPr>
                <w:rFonts w:hint="default" w:ascii="Times New Roman" w:hAnsi="Times New Roman" w:eastAsia="仿宋_GB2312" w:cs="Times New Roman"/>
                <w:bCs/>
                <w:color w:val="000000" w:themeColor="text1"/>
                <w:kern w:val="0"/>
                <w:sz w:val="24"/>
                <w:szCs w:val="24"/>
                <w14:textFill>
                  <w14:solidFill>
                    <w14:schemeClr w14:val="tx1"/>
                  </w14:solidFill>
                </w14:textFill>
              </w:rPr>
              <w:t>超过30%，</w:t>
            </w:r>
            <w:r>
              <w:rPr>
                <w:rFonts w:hint="eastAsia" w:ascii="仿宋_GB2312" w:hAnsi="仿宋_GB2312" w:eastAsia="仿宋_GB2312" w:cs="仿宋_GB2312"/>
                <w:color w:val="000000" w:themeColor="text1"/>
                <w:lang w:eastAsia="zh-CN"/>
                <w14:textFill>
                  <w14:solidFill>
                    <w14:schemeClr w14:val="tx1"/>
                  </w14:solidFill>
                </w14:textFill>
              </w:rPr>
              <w:t>保荐人应当核查业绩下滑的原因及合理性，是否与同行业可比公司一致，相关不利影响是否持续、是否将形成短期内不可逆转的下滑，并在《发行保荐工作报告》发表明确意见，督促发行人对上述事项进行风险提示；会计师应当按照上述要求核查并发表明确意见。</w:t>
            </w:r>
          </w:p>
        </w:tc>
        <w:tc>
          <w:tcPr>
            <w:tcW w:w="2581"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《上市公司证券发行注册管理办法》第五条、第四十条，《募集说明书格式准则》第二十四条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4-5</w:t>
            </w:r>
          </w:p>
        </w:tc>
        <w:tc>
          <w:tcPr>
            <w:tcW w:w="1276" w:type="dxa"/>
            <w:vAlign w:val="center"/>
          </w:tcPr>
          <w:p>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舆情情况</w:t>
            </w:r>
          </w:p>
        </w:tc>
        <w:tc>
          <w:tcPr>
            <w:tcW w:w="4604" w:type="dxa"/>
          </w:tcPr>
          <w:p>
            <w:pPr>
              <w:pStyle w:val="44"/>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当诚实守信，依法充分披露投资者作出价值判断和投资决策所必需的信息，充分揭示当前及未来可预见对发行人构成重大不利影响的直接和间接风险，所披露信息必须真实、准确、完整，简明清晰、通俗易懂，不得有虚假记载、误导性陈述或者重大遗漏。</w:t>
            </w:r>
          </w:p>
        </w:tc>
        <w:tc>
          <w:tcPr>
            <w:tcW w:w="4506" w:type="dxa"/>
          </w:tcPr>
          <w:p>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保荐人应当对上述事项进行核查，分析发行人主要舆情情况，就项目是否存在重大舆情</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及对本次发行上市条件的影响</w:t>
            </w:r>
            <w:r>
              <w:rPr>
                <w:rFonts w:hint="eastAsia" w:ascii="仿宋_GB2312" w:hAnsi="仿宋_GB2312" w:eastAsia="仿宋_GB2312" w:cs="仿宋_GB2312"/>
                <w:bCs/>
                <w:color w:val="000000" w:themeColor="text1"/>
                <w14:textFill>
                  <w14:solidFill>
                    <w14:schemeClr w14:val="tx1"/>
                  </w14:solidFill>
                </w14:textFill>
              </w:rPr>
              <w:t>出具明确核查意见。</w:t>
            </w:r>
          </w:p>
        </w:tc>
        <w:tc>
          <w:tcPr>
            <w:tcW w:w="2581" w:type="dxa"/>
          </w:tcPr>
          <w:p>
            <w:pPr>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《上市公司证券发行注册管理办法》第五条、第六条</w:t>
            </w:r>
          </w:p>
        </w:tc>
      </w:tr>
    </w:tbl>
    <w:p>
      <w:pPr>
        <w:adjustRightInd w:val="0"/>
        <w:snapToGrid w:val="0"/>
        <w:ind w:firstLine="360" w:firstLineChars="150"/>
        <w:rPr>
          <w:rFonts w:ascii="Times New Roman" w:hAnsi="Times New Roman" w:eastAsia="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4"/>
          <w14:textFill>
            <w14:solidFill>
              <w14:schemeClr w14:val="tx1"/>
            </w14:solidFill>
          </w14:textFill>
        </w:rPr>
        <w:t>注：为方便发行人填写，上述表格列明了核查要求、披露要求及参考规范，与实际填报的表格格式（正文）略有不同。</w:t>
      </w: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14</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RjMmY1YzM1Yzc2M2RiNWU0NTIzYmRmYTI0NmEifQ=="/>
  </w:docVars>
  <w:rsids>
    <w:rsidRoot w:val="00BC710D"/>
    <w:rsid w:val="00002763"/>
    <w:rsid w:val="00002EB1"/>
    <w:rsid w:val="0000461A"/>
    <w:rsid w:val="0000493A"/>
    <w:rsid w:val="00005790"/>
    <w:rsid w:val="00006149"/>
    <w:rsid w:val="000075C5"/>
    <w:rsid w:val="000078B4"/>
    <w:rsid w:val="00007BA3"/>
    <w:rsid w:val="000174BF"/>
    <w:rsid w:val="00017903"/>
    <w:rsid w:val="000203A2"/>
    <w:rsid w:val="00021878"/>
    <w:rsid w:val="00022614"/>
    <w:rsid w:val="000244FA"/>
    <w:rsid w:val="000258A8"/>
    <w:rsid w:val="00025A0F"/>
    <w:rsid w:val="000266CA"/>
    <w:rsid w:val="00032CF0"/>
    <w:rsid w:val="000330B0"/>
    <w:rsid w:val="00036C63"/>
    <w:rsid w:val="000415AD"/>
    <w:rsid w:val="00041A85"/>
    <w:rsid w:val="0004283E"/>
    <w:rsid w:val="0004602F"/>
    <w:rsid w:val="00046068"/>
    <w:rsid w:val="00047B1D"/>
    <w:rsid w:val="00051A03"/>
    <w:rsid w:val="00053A83"/>
    <w:rsid w:val="00054653"/>
    <w:rsid w:val="00056046"/>
    <w:rsid w:val="0005712C"/>
    <w:rsid w:val="0005739F"/>
    <w:rsid w:val="00060626"/>
    <w:rsid w:val="000619BD"/>
    <w:rsid w:val="000619E5"/>
    <w:rsid w:val="000630C0"/>
    <w:rsid w:val="00064314"/>
    <w:rsid w:val="000648BC"/>
    <w:rsid w:val="00065398"/>
    <w:rsid w:val="00065C06"/>
    <w:rsid w:val="00067AFE"/>
    <w:rsid w:val="000722CA"/>
    <w:rsid w:val="00077A66"/>
    <w:rsid w:val="0008040D"/>
    <w:rsid w:val="00080442"/>
    <w:rsid w:val="00082EC5"/>
    <w:rsid w:val="00083FD6"/>
    <w:rsid w:val="000848FD"/>
    <w:rsid w:val="00085D6B"/>
    <w:rsid w:val="00085ED0"/>
    <w:rsid w:val="00087A43"/>
    <w:rsid w:val="00087A9A"/>
    <w:rsid w:val="000929FD"/>
    <w:rsid w:val="0009303B"/>
    <w:rsid w:val="000934B4"/>
    <w:rsid w:val="00093705"/>
    <w:rsid w:val="00093824"/>
    <w:rsid w:val="000939D6"/>
    <w:rsid w:val="00094C98"/>
    <w:rsid w:val="00094F8F"/>
    <w:rsid w:val="0009686A"/>
    <w:rsid w:val="00097051"/>
    <w:rsid w:val="00097143"/>
    <w:rsid w:val="00097154"/>
    <w:rsid w:val="000974EB"/>
    <w:rsid w:val="000A1FF5"/>
    <w:rsid w:val="000A2EFC"/>
    <w:rsid w:val="000A7047"/>
    <w:rsid w:val="000B08D9"/>
    <w:rsid w:val="000B2832"/>
    <w:rsid w:val="000B3556"/>
    <w:rsid w:val="000B4B02"/>
    <w:rsid w:val="000B5684"/>
    <w:rsid w:val="000B5DF2"/>
    <w:rsid w:val="000B66F7"/>
    <w:rsid w:val="000C1ED5"/>
    <w:rsid w:val="000C6024"/>
    <w:rsid w:val="000D1524"/>
    <w:rsid w:val="000D5F1A"/>
    <w:rsid w:val="000D6571"/>
    <w:rsid w:val="000D6D58"/>
    <w:rsid w:val="000D7A76"/>
    <w:rsid w:val="000E10A0"/>
    <w:rsid w:val="000E159C"/>
    <w:rsid w:val="000E72F5"/>
    <w:rsid w:val="000E7C81"/>
    <w:rsid w:val="000F067B"/>
    <w:rsid w:val="000F2352"/>
    <w:rsid w:val="000F28EF"/>
    <w:rsid w:val="000F31B0"/>
    <w:rsid w:val="000F44E3"/>
    <w:rsid w:val="000F4AC6"/>
    <w:rsid w:val="000F4E0E"/>
    <w:rsid w:val="000F5D45"/>
    <w:rsid w:val="000F75D7"/>
    <w:rsid w:val="00100B60"/>
    <w:rsid w:val="001023D4"/>
    <w:rsid w:val="00104356"/>
    <w:rsid w:val="001047F4"/>
    <w:rsid w:val="00105672"/>
    <w:rsid w:val="00105F7E"/>
    <w:rsid w:val="001065CC"/>
    <w:rsid w:val="0011259F"/>
    <w:rsid w:val="00112820"/>
    <w:rsid w:val="00112C37"/>
    <w:rsid w:val="00115A8E"/>
    <w:rsid w:val="00115CAC"/>
    <w:rsid w:val="00116040"/>
    <w:rsid w:val="00116A36"/>
    <w:rsid w:val="001179CE"/>
    <w:rsid w:val="00117AEB"/>
    <w:rsid w:val="00117EF7"/>
    <w:rsid w:val="00120127"/>
    <w:rsid w:val="00120DB4"/>
    <w:rsid w:val="00121CDB"/>
    <w:rsid w:val="00122892"/>
    <w:rsid w:val="00122F57"/>
    <w:rsid w:val="00123A0F"/>
    <w:rsid w:val="00124DF5"/>
    <w:rsid w:val="00124ED4"/>
    <w:rsid w:val="00126D35"/>
    <w:rsid w:val="00127471"/>
    <w:rsid w:val="00127586"/>
    <w:rsid w:val="00130D6E"/>
    <w:rsid w:val="00131137"/>
    <w:rsid w:val="0013141A"/>
    <w:rsid w:val="00131642"/>
    <w:rsid w:val="00133CD6"/>
    <w:rsid w:val="001356A6"/>
    <w:rsid w:val="00135870"/>
    <w:rsid w:val="00135EC3"/>
    <w:rsid w:val="00141EF1"/>
    <w:rsid w:val="001421E2"/>
    <w:rsid w:val="001423F1"/>
    <w:rsid w:val="00142D2F"/>
    <w:rsid w:val="00143480"/>
    <w:rsid w:val="00143B0E"/>
    <w:rsid w:val="0014516D"/>
    <w:rsid w:val="00146717"/>
    <w:rsid w:val="0014729F"/>
    <w:rsid w:val="00147AFA"/>
    <w:rsid w:val="00150180"/>
    <w:rsid w:val="00151AB6"/>
    <w:rsid w:val="00151BBA"/>
    <w:rsid w:val="00152DC2"/>
    <w:rsid w:val="0015337E"/>
    <w:rsid w:val="00153BF0"/>
    <w:rsid w:val="00153F5E"/>
    <w:rsid w:val="001564BE"/>
    <w:rsid w:val="001564EC"/>
    <w:rsid w:val="001638AA"/>
    <w:rsid w:val="00164501"/>
    <w:rsid w:val="00165417"/>
    <w:rsid w:val="00165B97"/>
    <w:rsid w:val="00165CA9"/>
    <w:rsid w:val="00165D4A"/>
    <w:rsid w:val="00166088"/>
    <w:rsid w:val="001671B2"/>
    <w:rsid w:val="00167604"/>
    <w:rsid w:val="00175124"/>
    <w:rsid w:val="00175FF7"/>
    <w:rsid w:val="00177842"/>
    <w:rsid w:val="001779FE"/>
    <w:rsid w:val="00182897"/>
    <w:rsid w:val="00185F54"/>
    <w:rsid w:val="00186EF5"/>
    <w:rsid w:val="00191BE1"/>
    <w:rsid w:val="0019206E"/>
    <w:rsid w:val="001921ED"/>
    <w:rsid w:val="0019406D"/>
    <w:rsid w:val="00196ABA"/>
    <w:rsid w:val="00196D0D"/>
    <w:rsid w:val="001A0D31"/>
    <w:rsid w:val="001A0F5E"/>
    <w:rsid w:val="001A1A2D"/>
    <w:rsid w:val="001A7DBC"/>
    <w:rsid w:val="001B0316"/>
    <w:rsid w:val="001B0E2A"/>
    <w:rsid w:val="001B10F1"/>
    <w:rsid w:val="001B2764"/>
    <w:rsid w:val="001B5D48"/>
    <w:rsid w:val="001B664A"/>
    <w:rsid w:val="001B7195"/>
    <w:rsid w:val="001C356F"/>
    <w:rsid w:val="001C5093"/>
    <w:rsid w:val="001C5A80"/>
    <w:rsid w:val="001C6204"/>
    <w:rsid w:val="001D1080"/>
    <w:rsid w:val="001D1C3D"/>
    <w:rsid w:val="001D63B4"/>
    <w:rsid w:val="001E2985"/>
    <w:rsid w:val="001E3440"/>
    <w:rsid w:val="001E37EA"/>
    <w:rsid w:val="001E41D5"/>
    <w:rsid w:val="001E53D4"/>
    <w:rsid w:val="001F00E6"/>
    <w:rsid w:val="001F120C"/>
    <w:rsid w:val="001F1C86"/>
    <w:rsid w:val="001F46BE"/>
    <w:rsid w:val="001F4B68"/>
    <w:rsid w:val="001F4D6A"/>
    <w:rsid w:val="001F6F89"/>
    <w:rsid w:val="001F77AE"/>
    <w:rsid w:val="001F799F"/>
    <w:rsid w:val="001F7B28"/>
    <w:rsid w:val="001F7EB6"/>
    <w:rsid w:val="002011FF"/>
    <w:rsid w:val="00202AAE"/>
    <w:rsid w:val="0020567E"/>
    <w:rsid w:val="002062B8"/>
    <w:rsid w:val="002065C9"/>
    <w:rsid w:val="00206F94"/>
    <w:rsid w:val="0020707B"/>
    <w:rsid w:val="00211807"/>
    <w:rsid w:val="00213C8B"/>
    <w:rsid w:val="002167DA"/>
    <w:rsid w:val="00217171"/>
    <w:rsid w:val="002176BF"/>
    <w:rsid w:val="00220174"/>
    <w:rsid w:val="00220A01"/>
    <w:rsid w:val="00226084"/>
    <w:rsid w:val="00227F23"/>
    <w:rsid w:val="00232471"/>
    <w:rsid w:val="00233408"/>
    <w:rsid w:val="002432D8"/>
    <w:rsid w:val="00243CEA"/>
    <w:rsid w:val="00243F14"/>
    <w:rsid w:val="0024703F"/>
    <w:rsid w:val="002516AE"/>
    <w:rsid w:val="002543A1"/>
    <w:rsid w:val="00254814"/>
    <w:rsid w:val="0026078E"/>
    <w:rsid w:val="00262E59"/>
    <w:rsid w:val="00265295"/>
    <w:rsid w:val="0027085C"/>
    <w:rsid w:val="00271855"/>
    <w:rsid w:val="002721A5"/>
    <w:rsid w:val="002725DE"/>
    <w:rsid w:val="002744C9"/>
    <w:rsid w:val="00274A28"/>
    <w:rsid w:val="002829CB"/>
    <w:rsid w:val="00282D1E"/>
    <w:rsid w:val="00282D8A"/>
    <w:rsid w:val="00283B8B"/>
    <w:rsid w:val="00291EC2"/>
    <w:rsid w:val="00292DE6"/>
    <w:rsid w:val="0029562B"/>
    <w:rsid w:val="00295E4C"/>
    <w:rsid w:val="00295F79"/>
    <w:rsid w:val="00296059"/>
    <w:rsid w:val="00297F4E"/>
    <w:rsid w:val="002A0247"/>
    <w:rsid w:val="002A29B9"/>
    <w:rsid w:val="002A6DD9"/>
    <w:rsid w:val="002A799B"/>
    <w:rsid w:val="002B1BF9"/>
    <w:rsid w:val="002B1CCC"/>
    <w:rsid w:val="002B1D96"/>
    <w:rsid w:val="002B446C"/>
    <w:rsid w:val="002B5FBD"/>
    <w:rsid w:val="002B73F4"/>
    <w:rsid w:val="002C1BF3"/>
    <w:rsid w:val="002C21A6"/>
    <w:rsid w:val="002C2744"/>
    <w:rsid w:val="002C375E"/>
    <w:rsid w:val="002C38C8"/>
    <w:rsid w:val="002C517E"/>
    <w:rsid w:val="002C7798"/>
    <w:rsid w:val="002D0B87"/>
    <w:rsid w:val="002D1420"/>
    <w:rsid w:val="002D258E"/>
    <w:rsid w:val="002D5711"/>
    <w:rsid w:val="002D7D69"/>
    <w:rsid w:val="002D7FCA"/>
    <w:rsid w:val="002E01E1"/>
    <w:rsid w:val="002E2FA5"/>
    <w:rsid w:val="002E3335"/>
    <w:rsid w:val="002E394D"/>
    <w:rsid w:val="002E3990"/>
    <w:rsid w:val="002E3DFD"/>
    <w:rsid w:val="002E5378"/>
    <w:rsid w:val="002E5E7A"/>
    <w:rsid w:val="002E5F78"/>
    <w:rsid w:val="002E61BF"/>
    <w:rsid w:val="002E68D5"/>
    <w:rsid w:val="002E6E13"/>
    <w:rsid w:val="002E71DE"/>
    <w:rsid w:val="002F3436"/>
    <w:rsid w:val="002F53B3"/>
    <w:rsid w:val="002F6331"/>
    <w:rsid w:val="00300F08"/>
    <w:rsid w:val="00301615"/>
    <w:rsid w:val="00302690"/>
    <w:rsid w:val="00302759"/>
    <w:rsid w:val="00302EF8"/>
    <w:rsid w:val="00303925"/>
    <w:rsid w:val="00304BC1"/>
    <w:rsid w:val="00304EAC"/>
    <w:rsid w:val="00313880"/>
    <w:rsid w:val="003149BF"/>
    <w:rsid w:val="003150F0"/>
    <w:rsid w:val="003161BE"/>
    <w:rsid w:val="00316378"/>
    <w:rsid w:val="003207EE"/>
    <w:rsid w:val="00320D0B"/>
    <w:rsid w:val="00324C47"/>
    <w:rsid w:val="00325540"/>
    <w:rsid w:val="003268C6"/>
    <w:rsid w:val="00326A5C"/>
    <w:rsid w:val="003273C7"/>
    <w:rsid w:val="00327E9B"/>
    <w:rsid w:val="00331AFF"/>
    <w:rsid w:val="003339B5"/>
    <w:rsid w:val="0033519D"/>
    <w:rsid w:val="00335C6A"/>
    <w:rsid w:val="003361F9"/>
    <w:rsid w:val="003362BB"/>
    <w:rsid w:val="003375CE"/>
    <w:rsid w:val="00341351"/>
    <w:rsid w:val="00341493"/>
    <w:rsid w:val="00341EE7"/>
    <w:rsid w:val="00342845"/>
    <w:rsid w:val="00344A8A"/>
    <w:rsid w:val="00344E83"/>
    <w:rsid w:val="00346637"/>
    <w:rsid w:val="00346CF4"/>
    <w:rsid w:val="0035089E"/>
    <w:rsid w:val="00350A99"/>
    <w:rsid w:val="00351568"/>
    <w:rsid w:val="00351B66"/>
    <w:rsid w:val="003520A6"/>
    <w:rsid w:val="003554B8"/>
    <w:rsid w:val="003578C2"/>
    <w:rsid w:val="003604CE"/>
    <w:rsid w:val="00361AD1"/>
    <w:rsid w:val="00363B94"/>
    <w:rsid w:val="00364D72"/>
    <w:rsid w:val="0036557F"/>
    <w:rsid w:val="00365AB3"/>
    <w:rsid w:val="003660E9"/>
    <w:rsid w:val="00367964"/>
    <w:rsid w:val="00371335"/>
    <w:rsid w:val="00371E2E"/>
    <w:rsid w:val="00372516"/>
    <w:rsid w:val="0037526E"/>
    <w:rsid w:val="00376C4C"/>
    <w:rsid w:val="00377249"/>
    <w:rsid w:val="00377474"/>
    <w:rsid w:val="00377749"/>
    <w:rsid w:val="0038198D"/>
    <w:rsid w:val="00382377"/>
    <w:rsid w:val="00382E67"/>
    <w:rsid w:val="00383078"/>
    <w:rsid w:val="003830A0"/>
    <w:rsid w:val="003855B3"/>
    <w:rsid w:val="00385696"/>
    <w:rsid w:val="00386392"/>
    <w:rsid w:val="00390C4C"/>
    <w:rsid w:val="003941F2"/>
    <w:rsid w:val="003A4338"/>
    <w:rsid w:val="003A5AF4"/>
    <w:rsid w:val="003A5BD3"/>
    <w:rsid w:val="003A7872"/>
    <w:rsid w:val="003B1797"/>
    <w:rsid w:val="003B216C"/>
    <w:rsid w:val="003B2A31"/>
    <w:rsid w:val="003B37FE"/>
    <w:rsid w:val="003B3A91"/>
    <w:rsid w:val="003B3D04"/>
    <w:rsid w:val="003B66BD"/>
    <w:rsid w:val="003C0274"/>
    <w:rsid w:val="003C0D71"/>
    <w:rsid w:val="003C136D"/>
    <w:rsid w:val="003C234A"/>
    <w:rsid w:val="003C2E6A"/>
    <w:rsid w:val="003C36EF"/>
    <w:rsid w:val="003C3DDB"/>
    <w:rsid w:val="003C3F84"/>
    <w:rsid w:val="003C47B6"/>
    <w:rsid w:val="003C5A0B"/>
    <w:rsid w:val="003C7890"/>
    <w:rsid w:val="003D1599"/>
    <w:rsid w:val="003D32C3"/>
    <w:rsid w:val="003D39FB"/>
    <w:rsid w:val="003D4133"/>
    <w:rsid w:val="003D5132"/>
    <w:rsid w:val="003D6761"/>
    <w:rsid w:val="003D6E9D"/>
    <w:rsid w:val="003D6EA1"/>
    <w:rsid w:val="003E2587"/>
    <w:rsid w:val="003E2713"/>
    <w:rsid w:val="003E373F"/>
    <w:rsid w:val="003E4D10"/>
    <w:rsid w:val="003E5041"/>
    <w:rsid w:val="003E6DBC"/>
    <w:rsid w:val="003E6ED2"/>
    <w:rsid w:val="003F2986"/>
    <w:rsid w:val="003F299E"/>
    <w:rsid w:val="003F29A4"/>
    <w:rsid w:val="003F3F73"/>
    <w:rsid w:val="003F59D9"/>
    <w:rsid w:val="003F75B0"/>
    <w:rsid w:val="004004BC"/>
    <w:rsid w:val="004017DD"/>
    <w:rsid w:val="004017FC"/>
    <w:rsid w:val="00403A96"/>
    <w:rsid w:val="00403E4C"/>
    <w:rsid w:val="0040496B"/>
    <w:rsid w:val="00410AFE"/>
    <w:rsid w:val="00411FFA"/>
    <w:rsid w:val="004133D5"/>
    <w:rsid w:val="0041383B"/>
    <w:rsid w:val="00413EFD"/>
    <w:rsid w:val="004177C3"/>
    <w:rsid w:val="004202E5"/>
    <w:rsid w:val="00420947"/>
    <w:rsid w:val="004219CF"/>
    <w:rsid w:val="00422A6A"/>
    <w:rsid w:val="00422F9B"/>
    <w:rsid w:val="00424A0C"/>
    <w:rsid w:val="00424C55"/>
    <w:rsid w:val="00425115"/>
    <w:rsid w:val="00430189"/>
    <w:rsid w:val="00430AB9"/>
    <w:rsid w:val="00432C1F"/>
    <w:rsid w:val="00433612"/>
    <w:rsid w:val="00436EC5"/>
    <w:rsid w:val="004412D7"/>
    <w:rsid w:val="004420A6"/>
    <w:rsid w:val="004446ED"/>
    <w:rsid w:val="0044725B"/>
    <w:rsid w:val="0044746D"/>
    <w:rsid w:val="004475E0"/>
    <w:rsid w:val="00447E7B"/>
    <w:rsid w:val="00451224"/>
    <w:rsid w:val="00451305"/>
    <w:rsid w:val="004534EA"/>
    <w:rsid w:val="00463DE5"/>
    <w:rsid w:val="00466EE5"/>
    <w:rsid w:val="00471808"/>
    <w:rsid w:val="00472684"/>
    <w:rsid w:val="00472A67"/>
    <w:rsid w:val="0047370D"/>
    <w:rsid w:val="00475636"/>
    <w:rsid w:val="00475EAA"/>
    <w:rsid w:val="0047787A"/>
    <w:rsid w:val="0048030E"/>
    <w:rsid w:val="004848D4"/>
    <w:rsid w:val="0049055C"/>
    <w:rsid w:val="004906A3"/>
    <w:rsid w:val="00490ED1"/>
    <w:rsid w:val="00492FEF"/>
    <w:rsid w:val="0049344A"/>
    <w:rsid w:val="00493B16"/>
    <w:rsid w:val="0049619D"/>
    <w:rsid w:val="0049765F"/>
    <w:rsid w:val="004A2620"/>
    <w:rsid w:val="004A2C72"/>
    <w:rsid w:val="004A3060"/>
    <w:rsid w:val="004A3C3D"/>
    <w:rsid w:val="004A4D26"/>
    <w:rsid w:val="004A5F76"/>
    <w:rsid w:val="004A64B0"/>
    <w:rsid w:val="004A6E9B"/>
    <w:rsid w:val="004A7ABB"/>
    <w:rsid w:val="004B0288"/>
    <w:rsid w:val="004B0A89"/>
    <w:rsid w:val="004B12C7"/>
    <w:rsid w:val="004B5314"/>
    <w:rsid w:val="004B6E59"/>
    <w:rsid w:val="004C1C35"/>
    <w:rsid w:val="004C2173"/>
    <w:rsid w:val="004C2535"/>
    <w:rsid w:val="004C2A4D"/>
    <w:rsid w:val="004C2FD7"/>
    <w:rsid w:val="004C3008"/>
    <w:rsid w:val="004C3EFC"/>
    <w:rsid w:val="004C4175"/>
    <w:rsid w:val="004C63B4"/>
    <w:rsid w:val="004C6E25"/>
    <w:rsid w:val="004C78B2"/>
    <w:rsid w:val="004C799D"/>
    <w:rsid w:val="004C7ACC"/>
    <w:rsid w:val="004E1014"/>
    <w:rsid w:val="004E2FDB"/>
    <w:rsid w:val="004E3391"/>
    <w:rsid w:val="004E3E82"/>
    <w:rsid w:val="004E4315"/>
    <w:rsid w:val="004E5CC2"/>
    <w:rsid w:val="004E7328"/>
    <w:rsid w:val="004E745C"/>
    <w:rsid w:val="004E7E7E"/>
    <w:rsid w:val="004F055D"/>
    <w:rsid w:val="004F09EA"/>
    <w:rsid w:val="004F0EF8"/>
    <w:rsid w:val="004F22FC"/>
    <w:rsid w:val="004F3882"/>
    <w:rsid w:val="004F45D8"/>
    <w:rsid w:val="004F47BF"/>
    <w:rsid w:val="004F531E"/>
    <w:rsid w:val="004F58CC"/>
    <w:rsid w:val="004F5A69"/>
    <w:rsid w:val="004F5B6D"/>
    <w:rsid w:val="004F6D2D"/>
    <w:rsid w:val="004F6E86"/>
    <w:rsid w:val="004F78D0"/>
    <w:rsid w:val="004F7DCC"/>
    <w:rsid w:val="0050031A"/>
    <w:rsid w:val="0050085B"/>
    <w:rsid w:val="00500DE3"/>
    <w:rsid w:val="00501197"/>
    <w:rsid w:val="005016D2"/>
    <w:rsid w:val="00501CAB"/>
    <w:rsid w:val="00501EFB"/>
    <w:rsid w:val="005021B8"/>
    <w:rsid w:val="00503014"/>
    <w:rsid w:val="005041C9"/>
    <w:rsid w:val="00504329"/>
    <w:rsid w:val="00505CB8"/>
    <w:rsid w:val="00506B61"/>
    <w:rsid w:val="00510332"/>
    <w:rsid w:val="00511846"/>
    <w:rsid w:val="00512C9C"/>
    <w:rsid w:val="00512D1A"/>
    <w:rsid w:val="00513C7C"/>
    <w:rsid w:val="00514DD8"/>
    <w:rsid w:val="00522706"/>
    <w:rsid w:val="005234F7"/>
    <w:rsid w:val="00523AAF"/>
    <w:rsid w:val="005250BB"/>
    <w:rsid w:val="0052556F"/>
    <w:rsid w:val="00525DF9"/>
    <w:rsid w:val="0053018A"/>
    <w:rsid w:val="00530D96"/>
    <w:rsid w:val="00531610"/>
    <w:rsid w:val="0053180C"/>
    <w:rsid w:val="00531D2A"/>
    <w:rsid w:val="00533904"/>
    <w:rsid w:val="005345AD"/>
    <w:rsid w:val="00535C58"/>
    <w:rsid w:val="0053753C"/>
    <w:rsid w:val="0053798D"/>
    <w:rsid w:val="0054153A"/>
    <w:rsid w:val="00542AF5"/>
    <w:rsid w:val="00543149"/>
    <w:rsid w:val="0054754F"/>
    <w:rsid w:val="00547987"/>
    <w:rsid w:val="005501D5"/>
    <w:rsid w:val="00550859"/>
    <w:rsid w:val="00551AA8"/>
    <w:rsid w:val="00552496"/>
    <w:rsid w:val="00552F08"/>
    <w:rsid w:val="005542B8"/>
    <w:rsid w:val="00554FFA"/>
    <w:rsid w:val="00561DAD"/>
    <w:rsid w:val="00562D11"/>
    <w:rsid w:val="00563D98"/>
    <w:rsid w:val="005643D7"/>
    <w:rsid w:val="0056565E"/>
    <w:rsid w:val="00565857"/>
    <w:rsid w:val="00565C3B"/>
    <w:rsid w:val="00565FDB"/>
    <w:rsid w:val="005708B3"/>
    <w:rsid w:val="00570F39"/>
    <w:rsid w:val="0057217C"/>
    <w:rsid w:val="0057267D"/>
    <w:rsid w:val="0057315E"/>
    <w:rsid w:val="0057642E"/>
    <w:rsid w:val="00576C0C"/>
    <w:rsid w:val="00577239"/>
    <w:rsid w:val="00580AE2"/>
    <w:rsid w:val="00581CDE"/>
    <w:rsid w:val="00581DB6"/>
    <w:rsid w:val="005836B0"/>
    <w:rsid w:val="00591223"/>
    <w:rsid w:val="00591FA5"/>
    <w:rsid w:val="005934A8"/>
    <w:rsid w:val="00595DEB"/>
    <w:rsid w:val="00595EC4"/>
    <w:rsid w:val="005977E3"/>
    <w:rsid w:val="005A0065"/>
    <w:rsid w:val="005A0A68"/>
    <w:rsid w:val="005A233B"/>
    <w:rsid w:val="005A2F9C"/>
    <w:rsid w:val="005A5469"/>
    <w:rsid w:val="005B2E99"/>
    <w:rsid w:val="005B2FF5"/>
    <w:rsid w:val="005B3526"/>
    <w:rsid w:val="005B5E8B"/>
    <w:rsid w:val="005B7207"/>
    <w:rsid w:val="005C03F1"/>
    <w:rsid w:val="005C11CB"/>
    <w:rsid w:val="005C1D2E"/>
    <w:rsid w:val="005C2DCC"/>
    <w:rsid w:val="005C3577"/>
    <w:rsid w:val="005C49DE"/>
    <w:rsid w:val="005C6AB8"/>
    <w:rsid w:val="005C718D"/>
    <w:rsid w:val="005D13F3"/>
    <w:rsid w:val="005D18A0"/>
    <w:rsid w:val="005D3D53"/>
    <w:rsid w:val="005D4100"/>
    <w:rsid w:val="005D5ABA"/>
    <w:rsid w:val="005D5E01"/>
    <w:rsid w:val="005D6776"/>
    <w:rsid w:val="005D794F"/>
    <w:rsid w:val="005E1B1B"/>
    <w:rsid w:val="005E30FE"/>
    <w:rsid w:val="005E370F"/>
    <w:rsid w:val="005E6072"/>
    <w:rsid w:val="005F09B5"/>
    <w:rsid w:val="005F1C28"/>
    <w:rsid w:val="005F24ED"/>
    <w:rsid w:val="005F2FD7"/>
    <w:rsid w:val="005F31D0"/>
    <w:rsid w:val="005F675C"/>
    <w:rsid w:val="005F7DB3"/>
    <w:rsid w:val="00600935"/>
    <w:rsid w:val="00602FB4"/>
    <w:rsid w:val="00605B3D"/>
    <w:rsid w:val="00610A7B"/>
    <w:rsid w:val="00612720"/>
    <w:rsid w:val="00613468"/>
    <w:rsid w:val="006167E8"/>
    <w:rsid w:val="00621B1F"/>
    <w:rsid w:val="00622BA6"/>
    <w:rsid w:val="0062343A"/>
    <w:rsid w:val="00626B67"/>
    <w:rsid w:val="00630076"/>
    <w:rsid w:val="00633EAF"/>
    <w:rsid w:val="006340C2"/>
    <w:rsid w:val="00634885"/>
    <w:rsid w:val="00634DED"/>
    <w:rsid w:val="006440D7"/>
    <w:rsid w:val="00644435"/>
    <w:rsid w:val="006446B5"/>
    <w:rsid w:val="00654668"/>
    <w:rsid w:val="00656FC5"/>
    <w:rsid w:val="0066111E"/>
    <w:rsid w:val="006614FC"/>
    <w:rsid w:val="00661CD0"/>
    <w:rsid w:val="00661D30"/>
    <w:rsid w:val="00662781"/>
    <w:rsid w:val="00664E06"/>
    <w:rsid w:val="00665057"/>
    <w:rsid w:val="0066557A"/>
    <w:rsid w:val="00667250"/>
    <w:rsid w:val="00667B35"/>
    <w:rsid w:val="00670FB8"/>
    <w:rsid w:val="0067193B"/>
    <w:rsid w:val="006728E8"/>
    <w:rsid w:val="00675103"/>
    <w:rsid w:val="0067520B"/>
    <w:rsid w:val="00675214"/>
    <w:rsid w:val="00676AEF"/>
    <w:rsid w:val="00677D1F"/>
    <w:rsid w:val="00681D84"/>
    <w:rsid w:val="00682004"/>
    <w:rsid w:val="00684ED7"/>
    <w:rsid w:val="006875E0"/>
    <w:rsid w:val="006910E2"/>
    <w:rsid w:val="00691BD7"/>
    <w:rsid w:val="0069264B"/>
    <w:rsid w:val="00692EF9"/>
    <w:rsid w:val="0069356A"/>
    <w:rsid w:val="00693CE8"/>
    <w:rsid w:val="00694BB2"/>
    <w:rsid w:val="00695AEF"/>
    <w:rsid w:val="00696755"/>
    <w:rsid w:val="006A34DF"/>
    <w:rsid w:val="006A3BDC"/>
    <w:rsid w:val="006B31FE"/>
    <w:rsid w:val="006B32CF"/>
    <w:rsid w:val="006B3F16"/>
    <w:rsid w:val="006B423B"/>
    <w:rsid w:val="006B6E87"/>
    <w:rsid w:val="006C0EE2"/>
    <w:rsid w:val="006C1844"/>
    <w:rsid w:val="006C21BE"/>
    <w:rsid w:val="006C44EE"/>
    <w:rsid w:val="006C55BC"/>
    <w:rsid w:val="006C7AD7"/>
    <w:rsid w:val="006D08D0"/>
    <w:rsid w:val="006D1194"/>
    <w:rsid w:val="006D2A98"/>
    <w:rsid w:val="006D3915"/>
    <w:rsid w:val="006E0410"/>
    <w:rsid w:val="006E0570"/>
    <w:rsid w:val="006E05A4"/>
    <w:rsid w:val="006E267A"/>
    <w:rsid w:val="006E31AF"/>
    <w:rsid w:val="006E436F"/>
    <w:rsid w:val="006E45E7"/>
    <w:rsid w:val="006F05AD"/>
    <w:rsid w:val="006F0763"/>
    <w:rsid w:val="006F1746"/>
    <w:rsid w:val="006F1CE0"/>
    <w:rsid w:val="006F29DE"/>
    <w:rsid w:val="006F4056"/>
    <w:rsid w:val="006F73D6"/>
    <w:rsid w:val="006F7D90"/>
    <w:rsid w:val="00700474"/>
    <w:rsid w:val="00700D31"/>
    <w:rsid w:val="00700E12"/>
    <w:rsid w:val="00700E4F"/>
    <w:rsid w:val="00701891"/>
    <w:rsid w:val="00703500"/>
    <w:rsid w:val="00703548"/>
    <w:rsid w:val="0070545C"/>
    <w:rsid w:val="007072E1"/>
    <w:rsid w:val="00710233"/>
    <w:rsid w:val="00712616"/>
    <w:rsid w:val="007142C0"/>
    <w:rsid w:val="00720AB8"/>
    <w:rsid w:val="00721E3C"/>
    <w:rsid w:val="00722E5F"/>
    <w:rsid w:val="007232D4"/>
    <w:rsid w:val="00724106"/>
    <w:rsid w:val="00726CC3"/>
    <w:rsid w:val="007301EB"/>
    <w:rsid w:val="007308A5"/>
    <w:rsid w:val="00730C2A"/>
    <w:rsid w:val="00733518"/>
    <w:rsid w:val="00735496"/>
    <w:rsid w:val="00736958"/>
    <w:rsid w:val="00737216"/>
    <w:rsid w:val="007403DC"/>
    <w:rsid w:val="007408A2"/>
    <w:rsid w:val="007408A7"/>
    <w:rsid w:val="00741D39"/>
    <w:rsid w:val="00743200"/>
    <w:rsid w:val="00743B0A"/>
    <w:rsid w:val="00745D35"/>
    <w:rsid w:val="00746628"/>
    <w:rsid w:val="00751437"/>
    <w:rsid w:val="00751514"/>
    <w:rsid w:val="00751758"/>
    <w:rsid w:val="007523EB"/>
    <w:rsid w:val="007533EF"/>
    <w:rsid w:val="00754AB3"/>
    <w:rsid w:val="00754BFA"/>
    <w:rsid w:val="00755AAA"/>
    <w:rsid w:val="00755C8E"/>
    <w:rsid w:val="00760CAE"/>
    <w:rsid w:val="00760E08"/>
    <w:rsid w:val="00761656"/>
    <w:rsid w:val="00763A33"/>
    <w:rsid w:val="007641FB"/>
    <w:rsid w:val="00764C96"/>
    <w:rsid w:val="00765BC1"/>
    <w:rsid w:val="00766464"/>
    <w:rsid w:val="007671DE"/>
    <w:rsid w:val="00767CC6"/>
    <w:rsid w:val="00770F9A"/>
    <w:rsid w:val="00773F39"/>
    <w:rsid w:val="0077456B"/>
    <w:rsid w:val="00774750"/>
    <w:rsid w:val="0077586C"/>
    <w:rsid w:val="0077626A"/>
    <w:rsid w:val="00777A11"/>
    <w:rsid w:val="00777E25"/>
    <w:rsid w:val="007802ED"/>
    <w:rsid w:val="00781129"/>
    <w:rsid w:val="007819C1"/>
    <w:rsid w:val="0078487D"/>
    <w:rsid w:val="00784BCE"/>
    <w:rsid w:val="00784CB4"/>
    <w:rsid w:val="0078511F"/>
    <w:rsid w:val="00785175"/>
    <w:rsid w:val="00786A5E"/>
    <w:rsid w:val="00786F3D"/>
    <w:rsid w:val="0079093B"/>
    <w:rsid w:val="00792127"/>
    <w:rsid w:val="007936F5"/>
    <w:rsid w:val="00793D91"/>
    <w:rsid w:val="00794C67"/>
    <w:rsid w:val="00795658"/>
    <w:rsid w:val="007A140B"/>
    <w:rsid w:val="007A20BD"/>
    <w:rsid w:val="007A4B51"/>
    <w:rsid w:val="007A7353"/>
    <w:rsid w:val="007A76F7"/>
    <w:rsid w:val="007A7BE9"/>
    <w:rsid w:val="007B0E0C"/>
    <w:rsid w:val="007B1741"/>
    <w:rsid w:val="007B364C"/>
    <w:rsid w:val="007B4A2F"/>
    <w:rsid w:val="007B5F61"/>
    <w:rsid w:val="007B6E7B"/>
    <w:rsid w:val="007B7711"/>
    <w:rsid w:val="007B7F0A"/>
    <w:rsid w:val="007C24EB"/>
    <w:rsid w:val="007C576E"/>
    <w:rsid w:val="007C7E1C"/>
    <w:rsid w:val="007D1B73"/>
    <w:rsid w:val="007D20CC"/>
    <w:rsid w:val="007D44EF"/>
    <w:rsid w:val="007D46B0"/>
    <w:rsid w:val="007D493D"/>
    <w:rsid w:val="007D6D2E"/>
    <w:rsid w:val="007D79A2"/>
    <w:rsid w:val="007E091D"/>
    <w:rsid w:val="007E0E0B"/>
    <w:rsid w:val="007E6523"/>
    <w:rsid w:val="007F016D"/>
    <w:rsid w:val="007F0FE6"/>
    <w:rsid w:val="007F1577"/>
    <w:rsid w:val="007F3068"/>
    <w:rsid w:val="007F4BFC"/>
    <w:rsid w:val="007F5929"/>
    <w:rsid w:val="007F5D26"/>
    <w:rsid w:val="007F5E5B"/>
    <w:rsid w:val="007F6FB6"/>
    <w:rsid w:val="00800D26"/>
    <w:rsid w:val="00800E7E"/>
    <w:rsid w:val="00803D6A"/>
    <w:rsid w:val="00807546"/>
    <w:rsid w:val="008116BE"/>
    <w:rsid w:val="00811D30"/>
    <w:rsid w:val="008138BB"/>
    <w:rsid w:val="00813990"/>
    <w:rsid w:val="00813E78"/>
    <w:rsid w:val="00813FA0"/>
    <w:rsid w:val="008154D3"/>
    <w:rsid w:val="00817416"/>
    <w:rsid w:val="00817759"/>
    <w:rsid w:val="00817EAC"/>
    <w:rsid w:val="00820EA7"/>
    <w:rsid w:val="00823D73"/>
    <w:rsid w:val="008242B9"/>
    <w:rsid w:val="00831675"/>
    <w:rsid w:val="008324E2"/>
    <w:rsid w:val="00832936"/>
    <w:rsid w:val="008331B5"/>
    <w:rsid w:val="00834588"/>
    <w:rsid w:val="008348A3"/>
    <w:rsid w:val="00834B35"/>
    <w:rsid w:val="00834F8D"/>
    <w:rsid w:val="00836CF8"/>
    <w:rsid w:val="0084042E"/>
    <w:rsid w:val="0084234E"/>
    <w:rsid w:val="0084470A"/>
    <w:rsid w:val="008518B7"/>
    <w:rsid w:val="00851EF7"/>
    <w:rsid w:val="00853C60"/>
    <w:rsid w:val="00854298"/>
    <w:rsid w:val="00854CDF"/>
    <w:rsid w:val="00855F98"/>
    <w:rsid w:val="0086073B"/>
    <w:rsid w:val="008623B2"/>
    <w:rsid w:val="00862659"/>
    <w:rsid w:val="008627FA"/>
    <w:rsid w:val="00862C2A"/>
    <w:rsid w:val="00862FB9"/>
    <w:rsid w:val="00863FBB"/>
    <w:rsid w:val="0086470C"/>
    <w:rsid w:val="00864B28"/>
    <w:rsid w:val="0086527F"/>
    <w:rsid w:val="00866E38"/>
    <w:rsid w:val="00867177"/>
    <w:rsid w:val="00871E5B"/>
    <w:rsid w:val="00873D51"/>
    <w:rsid w:val="00875719"/>
    <w:rsid w:val="00876ABA"/>
    <w:rsid w:val="00876F6D"/>
    <w:rsid w:val="00880745"/>
    <w:rsid w:val="00881B43"/>
    <w:rsid w:val="00883110"/>
    <w:rsid w:val="00883CDC"/>
    <w:rsid w:val="00883DCE"/>
    <w:rsid w:val="00890110"/>
    <w:rsid w:val="00890C1E"/>
    <w:rsid w:val="00892A24"/>
    <w:rsid w:val="00896939"/>
    <w:rsid w:val="00897EC0"/>
    <w:rsid w:val="008A1039"/>
    <w:rsid w:val="008A2F45"/>
    <w:rsid w:val="008A3175"/>
    <w:rsid w:val="008A69D1"/>
    <w:rsid w:val="008A6E16"/>
    <w:rsid w:val="008A7387"/>
    <w:rsid w:val="008B1A50"/>
    <w:rsid w:val="008B2675"/>
    <w:rsid w:val="008B41A9"/>
    <w:rsid w:val="008C03C7"/>
    <w:rsid w:val="008C11B7"/>
    <w:rsid w:val="008C280E"/>
    <w:rsid w:val="008C65C3"/>
    <w:rsid w:val="008C669C"/>
    <w:rsid w:val="008C6BE4"/>
    <w:rsid w:val="008C6CCC"/>
    <w:rsid w:val="008C7303"/>
    <w:rsid w:val="008D1D62"/>
    <w:rsid w:val="008D2E6C"/>
    <w:rsid w:val="008D559F"/>
    <w:rsid w:val="008D61EA"/>
    <w:rsid w:val="008E13C8"/>
    <w:rsid w:val="008E25CD"/>
    <w:rsid w:val="008E37A9"/>
    <w:rsid w:val="008E3981"/>
    <w:rsid w:val="008E5849"/>
    <w:rsid w:val="008E7935"/>
    <w:rsid w:val="008E7955"/>
    <w:rsid w:val="008F0922"/>
    <w:rsid w:val="008F09A2"/>
    <w:rsid w:val="008F221D"/>
    <w:rsid w:val="008F29B0"/>
    <w:rsid w:val="008F2C9B"/>
    <w:rsid w:val="008F2CBD"/>
    <w:rsid w:val="008F2F54"/>
    <w:rsid w:val="008F4D40"/>
    <w:rsid w:val="008F5613"/>
    <w:rsid w:val="008F5F6A"/>
    <w:rsid w:val="008F7058"/>
    <w:rsid w:val="009012CE"/>
    <w:rsid w:val="00901443"/>
    <w:rsid w:val="00904416"/>
    <w:rsid w:val="009072E1"/>
    <w:rsid w:val="00907D19"/>
    <w:rsid w:val="00907EB2"/>
    <w:rsid w:val="009107E1"/>
    <w:rsid w:val="0091307F"/>
    <w:rsid w:val="0091344E"/>
    <w:rsid w:val="009144DE"/>
    <w:rsid w:val="00915DC7"/>
    <w:rsid w:val="009172B4"/>
    <w:rsid w:val="00917546"/>
    <w:rsid w:val="00922D59"/>
    <w:rsid w:val="0092552A"/>
    <w:rsid w:val="00927167"/>
    <w:rsid w:val="0093192F"/>
    <w:rsid w:val="00931962"/>
    <w:rsid w:val="00931F79"/>
    <w:rsid w:val="009324D1"/>
    <w:rsid w:val="009358FA"/>
    <w:rsid w:val="00935A8E"/>
    <w:rsid w:val="00936E6A"/>
    <w:rsid w:val="00942433"/>
    <w:rsid w:val="00945235"/>
    <w:rsid w:val="00947D7B"/>
    <w:rsid w:val="009502CE"/>
    <w:rsid w:val="00950754"/>
    <w:rsid w:val="00955DAF"/>
    <w:rsid w:val="00955FF1"/>
    <w:rsid w:val="00956312"/>
    <w:rsid w:val="00960B05"/>
    <w:rsid w:val="00960F2E"/>
    <w:rsid w:val="00961E49"/>
    <w:rsid w:val="00962BE3"/>
    <w:rsid w:val="0096332F"/>
    <w:rsid w:val="00963FB8"/>
    <w:rsid w:val="009643AE"/>
    <w:rsid w:val="00965289"/>
    <w:rsid w:val="0097041F"/>
    <w:rsid w:val="00970EE3"/>
    <w:rsid w:val="009733A3"/>
    <w:rsid w:val="009758DD"/>
    <w:rsid w:val="00975D05"/>
    <w:rsid w:val="00976717"/>
    <w:rsid w:val="0097780A"/>
    <w:rsid w:val="00982885"/>
    <w:rsid w:val="0098420E"/>
    <w:rsid w:val="009862AD"/>
    <w:rsid w:val="009906C3"/>
    <w:rsid w:val="0099156F"/>
    <w:rsid w:val="0099235A"/>
    <w:rsid w:val="00992CCF"/>
    <w:rsid w:val="009940DD"/>
    <w:rsid w:val="00994837"/>
    <w:rsid w:val="009963B3"/>
    <w:rsid w:val="00996CF0"/>
    <w:rsid w:val="00997037"/>
    <w:rsid w:val="00997322"/>
    <w:rsid w:val="009974A8"/>
    <w:rsid w:val="009979BB"/>
    <w:rsid w:val="009A19A1"/>
    <w:rsid w:val="009A27B5"/>
    <w:rsid w:val="009A3AE6"/>
    <w:rsid w:val="009A44A1"/>
    <w:rsid w:val="009A5C99"/>
    <w:rsid w:val="009A6885"/>
    <w:rsid w:val="009A6A8B"/>
    <w:rsid w:val="009A71BA"/>
    <w:rsid w:val="009A71DB"/>
    <w:rsid w:val="009A751B"/>
    <w:rsid w:val="009B0CC2"/>
    <w:rsid w:val="009B4164"/>
    <w:rsid w:val="009B4B94"/>
    <w:rsid w:val="009C00C9"/>
    <w:rsid w:val="009C2205"/>
    <w:rsid w:val="009C2918"/>
    <w:rsid w:val="009C325B"/>
    <w:rsid w:val="009C3780"/>
    <w:rsid w:val="009C5C7F"/>
    <w:rsid w:val="009C7D2C"/>
    <w:rsid w:val="009D13E1"/>
    <w:rsid w:val="009D252D"/>
    <w:rsid w:val="009D29F3"/>
    <w:rsid w:val="009D6216"/>
    <w:rsid w:val="009D6BD6"/>
    <w:rsid w:val="009E0B13"/>
    <w:rsid w:val="009E14E6"/>
    <w:rsid w:val="009E1973"/>
    <w:rsid w:val="009E207C"/>
    <w:rsid w:val="009E22D8"/>
    <w:rsid w:val="009E34D3"/>
    <w:rsid w:val="009E6126"/>
    <w:rsid w:val="009E6284"/>
    <w:rsid w:val="009F3AED"/>
    <w:rsid w:val="009F3B32"/>
    <w:rsid w:val="009F459B"/>
    <w:rsid w:val="009F5C48"/>
    <w:rsid w:val="00A006DD"/>
    <w:rsid w:val="00A00DDD"/>
    <w:rsid w:val="00A02E83"/>
    <w:rsid w:val="00A047AE"/>
    <w:rsid w:val="00A068B3"/>
    <w:rsid w:val="00A10BDF"/>
    <w:rsid w:val="00A110C8"/>
    <w:rsid w:val="00A1208E"/>
    <w:rsid w:val="00A12938"/>
    <w:rsid w:val="00A13260"/>
    <w:rsid w:val="00A144ED"/>
    <w:rsid w:val="00A2059B"/>
    <w:rsid w:val="00A2173E"/>
    <w:rsid w:val="00A225AB"/>
    <w:rsid w:val="00A23F82"/>
    <w:rsid w:val="00A2419D"/>
    <w:rsid w:val="00A248EC"/>
    <w:rsid w:val="00A2500F"/>
    <w:rsid w:val="00A269F3"/>
    <w:rsid w:val="00A27F2C"/>
    <w:rsid w:val="00A30CB3"/>
    <w:rsid w:val="00A34C5A"/>
    <w:rsid w:val="00A359AF"/>
    <w:rsid w:val="00A41286"/>
    <w:rsid w:val="00A41EFD"/>
    <w:rsid w:val="00A42115"/>
    <w:rsid w:val="00A423A8"/>
    <w:rsid w:val="00A425A9"/>
    <w:rsid w:val="00A441E7"/>
    <w:rsid w:val="00A458EE"/>
    <w:rsid w:val="00A45A4B"/>
    <w:rsid w:val="00A46D35"/>
    <w:rsid w:val="00A46F2A"/>
    <w:rsid w:val="00A50F23"/>
    <w:rsid w:val="00A522C6"/>
    <w:rsid w:val="00A5564C"/>
    <w:rsid w:val="00A55B4B"/>
    <w:rsid w:val="00A55E1A"/>
    <w:rsid w:val="00A567F0"/>
    <w:rsid w:val="00A6109C"/>
    <w:rsid w:val="00A61E9C"/>
    <w:rsid w:val="00A64C94"/>
    <w:rsid w:val="00A6606E"/>
    <w:rsid w:val="00A66473"/>
    <w:rsid w:val="00A70FB5"/>
    <w:rsid w:val="00A72BAD"/>
    <w:rsid w:val="00A7567B"/>
    <w:rsid w:val="00A77131"/>
    <w:rsid w:val="00A772A4"/>
    <w:rsid w:val="00A8041E"/>
    <w:rsid w:val="00A815B8"/>
    <w:rsid w:val="00A84520"/>
    <w:rsid w:val="00A85360"/>
    <w:rsid w:val="00A854FC"/>
    <w:rsid w:val="00A85959"/>
    <w:rsid w:val="00A86CB7"/>
    <w:rsid w:val="00A90378"/>
    <w:rsid w:val="00A907FA"/>
    <w:rsid w:val="00A9145E"/>
    <w:rsid w:val="00A945BA"/>
    <w:rsid w:val="00A95D30"/>
    <w:rsid w:val="00AA019B"/>
    <w:rsid w:val="00AA301A"/>
    <w:rsid w:val="00AA36A1"/>
    <w:rsid w:val="00AA65F0"/>
    <w:rsid w:val="00AB2C93"/>
    <w:rsid w:val="00AB4566"/>
    <w:rsid w:val="00AB4ED5"/>
    <w:rsid w:val="00AB78CF"/>
    <w:rsid w:val="00AC557E"/>
    <w:rsid w:val="00AC581F"/>
    <w:rsid w:val="00AC6F16"/>
    <w:rsid w:val="00AD0209"/>
    <w:rsid w:val="00AD178E"/>
    <w:rsid w:val="00AD2435"/>
    <w:rsid w:val="00AD4106"/>
    <w:rsid w:val="00AD64E3"/>
    <w:rsid w:val="00AD6CB3"/>
    <w:rsid w:val="00AD72FC"/>
    <w:rsid w:val="00AE346D"/>
    <w:rsid w:val="00AE3BF1"/>
    <w:rsid w:val="00AE467A"/>
    <w:rsid w:val="00AE4A71"/>
    <w:rsid w:val="00AE6AAF"/>
    <w:rsid w:val="00AE6B23"/>
    <w:rsid w:val="00AE7757"/>
    <w:rsid w:val="00AF037D"/>
    <w:rsid w:val="00AF1087"/>
    <w:rsid w:val="00AF237C"/>
    <w:rsid w:val="00AF4EF0"/>
    <w:rsid w:val="00AF5460"/>
    <w:rsid w:val="00AF5C2B"/>
    <w:rsid w:val="00AF6EF8"/>
    <w:rsid w:val="00AF72A8"/>
    <w:rsid w:val="00AF7CB5"/>
    <w:rsid w:val="00B0083E"/>
    <w:rsid w:val="00B01921"/>
    <w:rsid w:val="00B02765"/>
    <w:rsid w:val="00B05E42"/>
    <w:rsid w:val="00B05FC2"/>
    <w:rsid w:val="00B063F5"/>
    <w:rsid w:val="00B07B75"/>
    <w:rsid w:val="00B07F81"/>
    <w:rsid w:val="00B1025B"/>
    <w:rsid w:val="00B10800"/>
    <w:rsid w:val="00B11C49"/>
    <w:rsid w:val="00B12774"/>
    <w:rsid w:val="00B12903"/>
    <w:rsid w:val="00B12FBF"/>
    <w:rsid w:val="00B14209"/>
    <w:rsid w:val="00B201ED"/>
    <w:rsid w:val="00B21EDF"/>
    <w:rsid w:val="00B2211B"/>
    <w:rsid w:val="00B2559E"/>
    <w:rsid w:val="00B25A63"/>
    <w:rsid w:val="00B25B35"/>
    <w:rsid w:val="00B25C66"/>
    <w:rsid w:val="00B26941"/>
    <w:rsid w:val="00B27972"/>
    <w:rsid w:val="00B27A99"/>
    <w:rsid w:val="00B27BBF"/>
    <w:rsid w:val="00B305C7"/>
    <w:rsid w:val="00B30957"/>
    <w:rsid w:val="00B30CE2"/>
    <w:rsid w:val="00B30DCC"/>
    <w:rsid w:val="00B312DB"/>
    <w:rsid w:val="00B344D7"/>
    <w:rsid w:val="00B357F8"/>
    <w:rsid w:val="00B37131"/>
    <w:rsid w:val="00B376FF"/>
    <w:rsid w:val="00B42531"/>
    <w:rsid w:val="00B43311"/>
    <w:rsid w:val="00B45C5E"/>
    <w:rsid w:val="00B466E2"/>
    <w:rsid w:val="00B4720C"/>
    <w:rsid w:val="00B474C2"/>
    <w:rsid w:val="00B47CE2"/>
    <w:rsid w:val="00B501E3"/>
    <w:rsid w:val="00B50C8D"/>
    <w:rsid w:val="00B52E22"/>
    <w:rsid w:val="00B52FE0"/>
    <w:rsid w:val="00B540FD"/>
    <w:rsid w:val="00B548C3"/>
    <w:rsid w:val="00B5598E"/>
    <w:rsid w:val="00B5612B"/>
    <w:rsid w:val="00B70F8C"/>
    <w:rsid w:val="00B71F4D"/>
    <w:rsid w:val="00B723E9"/>
    <w:rsid w:val="00B758A9"/>
    <w:rsid w:val="00B75BE4"/>
    <w:rsid w:val="00B77E97"/>
    <w:rsid w:val="00B8040D"/>
    <w:rsid w:val="00B8175D"/>
    <w:rsid w:val="00B81A50"/>
    <w:rsid w:val="00B8286C"/>
    <w:rsid w:val="00B82D66"/>
    <w:rsid w:val="00B849B7"/>
    <w:rsid w:val="00B84D14"/>
    <w:rsid w:val="00B85461"/>
    <w:rsid w:val="00B85C66"/>
    <w:rsid w:val="00B93D89"/>
    <w:rsid w:val="00B95CB5"/>
    <w:rsid w:val="00B97AD8"/>
    <w:rsid w:val="00BA02FA"/>
    <w:rsid w:val="00BA187B"/>
    <w:rsid w:val="00BA3317"/>
    <w:rsid w:val="00BA3AEB"/>
    <w:rsid w:val="00BA55CF"/>
    <w:rsid w:val="00BA5E07"/>
    <w:rsid w:val="00BB0F5B"/>
    <w:rsid w:val="00BB26B7"/>
    <w:rsid w:val="00BB44BD"/>
    <w:rsid w:val="00BB78DE"/>
    <w:rsid w:val="00BC0BDF"/>
    <w:rsid w:val="00BC0C33"/>
    <w:rsid w:val="00BC1404"/>
    <w:rsid w:val="00BC2815"/>
    <w:rsid w:val="00BC626F"/>
    <w:rsid w:val="00BC710D"/>
    <w:rsid w:val="00BC7DCA"/>
    <w:rsid w:val="00BD0ABB"/>
    <w:rsid w:val="00BD14BA"/>
    <w:rsid w:val="00BD4421"/>
    <w:rsid w:val="00BD5397"/>
    <w:rsid w:val="00BD5D1C"/>
    <w:rsid w:val="00BD728F"/>
    <w:rsid w:val="00BD77C3"/>
    <w:rsid w:val="00BE019E"/>
    <w:rsid w:val="00BE02A2"/>
    <w:rsid w:val="00BE0A98"/>
    <w:rsid w:val="00BE21A4"/>
    <w:rsid w:val="00BE2E3A"/>
    <w:rsid w:val="00BE3E14"/>
    <w:rsid w:val="00BE6A2F"/>
    <w:rsid w:val="00BF070F"/>
    <w:rsid w:val="00BF0CA1"/>
    <w:rsid w:val="00BF0F3B"/>
    <w:rsid w:val="00BF133B"/>
    <w:rsid w:val="00BF29AF"/>
    <w:rsid w:val="00BF2A18"/>
    <w:rsid w:val="00BF325B"/>
    <w:rsid w:val="00BF3D7E"/>
    <w:rsid w:val="00BF44B1"/>
    <w:rsid w:val="00BF4C44"/>
    <w:rsid w:val="00BF4F49"/>
    <w:rsid w:val="00BF505F"/>
    <w:rsid w:val="00BF6DA9"/>
    <w:rsid w:val="00C00087"/>
    <w:rsid w:val="00C05279"/>
    <w:rsid w:val="00C05683"/>
    <w:rsid w:val="00C05CB4"/>
    <w:rsid w:val="00C07BB8"/>
    <w:rsid w:val="00C10D22"/>
    <w:rsid w:val="00C11CCA"/>
    <w:rsid w:val="00C12B8B"/>
    <w:rsid w:val="00C12D0C"/>
    <w:rsid w:val="00C23AD1"/>
    <w:rsid w:val="00C25074"/>
    <w:rsid w:val="00C27FB4"/>
    <w:rsid w:val="00C30AB7"/>
    <w:rsid w:val="00C318D1"/>
    <w:rsid w:val="00C324CB"/>
    <w:rsid w:val="00C340A9"/>
    <w:rsid w:val="00C3417C"/>
    <w:rsid w:val="00C34B30"/>
    <w:rsid w:val="00C36232"/>
    <w:rsid w:val="00C37C1D"/>
    <w:rsid w:val="00C40BAE"/>
    <w:rsid w:val="00C40BC3"/>
    <w:rsid w:val="00C40F2E"/>
    <w:rsid w:val="00C41DFE"/>
    <w:rsid w:val="00C41F13"/>
    <w:rsid w:val="00C42E6D"/>
    <w:rsid w:val="00C46EA5"/>
    <w:rsid w:val="00C47268"/>
    <w:rsid w:val="00C47979"/>
    <w:rsid w:val="00C50CD3"/>
    <w:rsid w:val="00C526D2"/>
    <w:rsid w:val="00C52CAF"/>
    <w:rsid w:val="00C5579E"/>
    <w:rsid w:val="00C565C3"/>
    <w:rsid w:val="00C56BBF"/>
    <w:rsid w:val="00C62F74"/>
    <w:rsid w:val="00C63D94"/>
    <w:rsid w:val="00C64D48"/>
    <w:rsid w:val="00C65EE4"/>
    <w:rsid w:val="00C663B5"/>
    <w:rsid w:val="00C6699E"/>
    <w:rsid w:val="00C66AD1"/>
    <w:rsid w:val="00C66DBD"/>
    <w:rsid w:val="00C70AE2"/>
    <w:rsid w:val="00C70E02"/>
    <w:rsid w:val="00C73775"/>
    <w:rsid w:val="00C747BD"/>
    <w:rsid w:val="00C76678"/>
    <w:rsid w:val="00C76894"/>
    <w:rsid w:val="00C81846"/>
    <w:rsid w:val="00C82517"/>
    <w:rsid w:val="00C8500C"/>
    <w:rsid w:val="00C85C68"/>
    <w:rsid w:val="00C85F85"/>
    <w:rsid w:val="00C86392"/>
    <w:rsid w:val="00C87166"/>
    <w:rsid w:val="00C8751F"/>
    <w:rsid w:val="00C91427"/>
    <w:rsid w:val="00C91971"/>
    <w:rsid w:val="00C92369"/>
    <w:rsid w:val="00C92D9C"/>
    <w:rsid w:val="00C93C80"/>
    <w:rsid w:val="00C94787"/>
    <w:rsid w:val="00CA2282"/>
    <w:rsid w:val="00CA283C"/>
    <w:rsid w:val="00CA2ECC"/>
    <w:rsid w:val="00CA54CC"/>
    <w:rsid w:val="00CA6CEE"/>
    <w:rsid w:val="00CA7A5E"/>
    <w:rsid w:val="00CB0A43"/>
    <w:rsid w:val="00CB348B"/>
    <w:rsid w:val="00CB3CB5"/>
    <w:rsid w:val="00CB3DB3"/>
    <w:rsid w:val="00CB4CE3"/>
    <w:rsid w:val="00CB5192"/>
    <w:rsid w:val="00CB75A2"/>
    <w:rsid w:val="00CC07A0"/>
    <w:rsid w:val="00CC0DBC"/>
    <w:rsid w:val="00CC1542"/>
    <w:rsid w:val="00CC3749"/>
    <w:rsid w:val="00CC447D"/>
    <w:rsid w:val="00CC57BE"/>
    <w:rsid w:val="00CC6BFE"/>
    <w:rsid w:val="00CC7578"/>
    <w:rsid w:val="00CD095A"/>
    <w:rsid w:val="00CD2907"/>
    <w:rsid w:val="00CD4A77"/>
    <w:rsid w:val="00CD68A8"/>
    <w:rsid w:val="00CD6AA3"/>
    <w:rsid w:val="00CE12C1"/>
    <w:rsid w:val="00CE5BE9"/>
    <w:rsid w:val="00CE61A4"/>
    <w:rsid w:val="00CE632D"/>
    <w:rsid w:val="00CE6A44"/>
    <w:rsid w:val="00CF0179"/>
    <w:rsid w:val="00CF0A3F"/>
    <w:rsid w:val="00CF31E8"/>
    <w:rsid w:val="00CF56E1"/>
    <w:rsid w:val="00CF5D84"/>
    <w:rsid w:val="00CF5DB4"/>
    <w:rsid w:val="00CF76A4"/>
    <w:rsid w:val="00D00A39"/>
    <w:rsid w:val="00D02710"/>
    <w:rsid w:val="00D02BD8"/>
    <w:rsid w:val="00D0414C"/>
    <w:rsid w:val="00D05182"/>
    <w:rsid w:val="00D053A4"/>
    <w:rsid w:val="00D072B9"/>
    <w:rsid w:val="00D07DCD"/>
    <w:rsid w:val="00D07F0D"/>
    <w:rsid w:val="00D106E8"/>
    <w:rsid w:val="00D10704"/>
    <w:rsid w:val="00D12485"/>
    <w:rsid w:val="00D15278"/>
    <w:rsid w:val="00D175D0"/>
    <w:rsid w:val="00D209E1"/>
    <w:rsid w:val="00D2193A"/>
    <w:rsid w:val="00D22068"/>
    <w:rsid w:val="00D2232F"/>
    <w:rsid w:val="00D22AC7"/>
    <w:rsid w:val="00D231FD"/>
    <w:rsid w:val="00D23C19"/>
    <w:rsid w:val="00D263AE"/>
    <w:rsid w:val="00D26AFE"/>
    <w:rsid w:val="00D27D64"/>
    <w:rsid w:val="00D30C4F"/>
    <w:rsid w:val="00D352B1"/>
    <w:rsid w:val="00D353C4"/>
    <w:rsid w:val="00D3687F"/>
    <w:rsid w:val="00D36B6F"/>
    <w:rsid w:val="00D37475"/>
    <w:rsid w:val="00D416F2"/>
    <w:rsid w:val="00D425F1"/>
    <w:rsid w:val="00D42728"/>
    <w:rsid w:val="00D4319D"/>
    <w:rsid w:val="00D435B9"/>
    <w:rsid w:val="00D4662A"/>
    <w:rsid w:val="00D473CB"/>
    <w:rsid w:val="00D47518"/>
    <w:rsid w:val="00D4790F"/>
    <w:rsid w:val="00D5037B"/>
    <w:rsid w:val="00D51F1D"/>
    <w:rsid w:val="00D534D5"/>
    <w:rsid w:val="00D5384B"/>
    <w:rsid w:val="00D5584A"/>
    <w:rsid w:val="00D562F2"/>
    <w:rsid w:val="00D56EA9"/>
    <w:rsid w:val="00D57308"/>
    <w:rsid w:val="00D57B6F"/>
    <w:rsid w:val="00D6035B"/>
    <w:rsid w:val="00D61B58"/>
    <w:rsid w:val="00D62993"/>
    <w:rsid w:val="00D64685"/>
    <w:rsid w:val="00D646C6"/>
    <w:rsid w:val="00D67B2C"/>
    <w:rsid w:val="00D72AC1"/>
    <w:rsid w:val="00D741F0"/>
    <w:rsid w:val="00D75136"/>
    <w:rsid w:val="00D768B7"/>
    <w:rsid w:val="00D77FDB"/>
    <w:rsid w:val="00D80400"/>
    <w:rsid w:val="00D80B9F"/>
    <w:rsid w:val="00D80E0B"/>
    <w:rsid w:val="00D81AF7"/>
    <w:rsid w:val="00D81D54"/>
    <w:rsid w:val="00D82D1F"/>
    <w:rsid w:val="00D8606B"/>
    <w:rsid w:val="00D865F4"/>
    <w:rsid w:val="00D86CDC"/>
    <w:rsid w:val="00D931F4"/>
    <w:rsid w:val="00D9548A"/>
    <w:rsid w:val="00D967C7"/>
    <w:rsid w:val="00D96B08"/>
    <w:rsid w:val="00DA0558"/>
    <w:rsid w:val="00DA07B1"/>
    <w:rsid w:val="00DA103D"/>
    <w:rsid w:val="00DA1509"/>
    <w:rsid w:val="00DA26F7"/>
    <w:rsid w:val="00DA4757"/>
    <w:rsid w:val="00DA571F"/>
    <w:rsid w:val="00DA5B13"/>
    <w:rsid w:val="00DB05E9"/>
    <w:rsid w:val="00DB0847"/>
    <w:rsid w:val="00DB216D"/>
    <w:rsid w:val="00DB3F80"/>
    <w:rsid w:val="00DB4F8F"/>
    <w:rsid w:val="00DB5E12"/>
    <w:rsid w:val="00DB5FB9"/>
    <w:rsid w:val="00DC01A3"/>
    <w:rsid w:val="00DC13B1"/>
    <w:rsid w:val="00DC14D1"/>
    <w:rsid w:val="00DC289C"/>
    <w:rsid w:val="00DC3D5F"/>
    <w:rsid w:val="00DC61BF"/>
    <w:rsid w:val="00DC62B6"/>
    <w:rsid w:val="00DD0D65"/>
    <w:rsid w:val="00DD43D5"/>
    <w:rsid w:val="00DD5DDF"/>
    <w:rsid w:val="00DD615B"/>
    <w:rsid w:val="00DD65F5"/>
    <w:rsid w:val="00DD6FD1"/>
    <w:rsid w:val="00DE15F7"/>
    <w:rsid w:val="00DE2B32"/>
    <w:rsid w:val="00DE4791"/>
    <w:rsid w:val="00DE50F0"/>
    <w:rsid w:val="00DE57D3"/>
    <w:rsid w:val="00DE66D8"/>
    <w:rsid w:val="00DF13C7"/>
    <w:rsid w:val="00DF16B3"/>
    <w:rsid w:val="00DF3824"/>
    <w:rsid w:val="00DF422B"/>
    <w:rsid w:val="00DF4FE0"/>
    <w:rsid w:val="00DF5119"/>
    <w:rsid w:val="00DF662A"/>
    <w:rsid w:val="00DF6AA8"/>
    <w:rsid w:val="00DF78A0"/>
    <w:rsid w:val="00E02DEE"/>
    <w:rsid w:val="00E04B1E"/>
    <w:rsid w:val="00E063C2"/>
    <w:rsid w:val="00E06A1B"/>
    <w:rsid w:val="00E11EA3"/>
    <w:rsid w:val="00E12B71"/>
    <w:rsid w:val="00E12F30"/>
    <w:rsid w:val="00E130D2"/>
    <w:rsid w:val="00E14922"/>
    <w:rsid w:val="00E14993"/>
    <w:rsid w:val="00E160CE"/>
    <w:rsid w:val="00E16A81"/>
    <w:rsid w:val="00E17168"/>
    <w:rsid w:val="00E21237"/>
    <w:rsid w:val="00E21DCE"/>
    <w:rsid w:val="00E2371F"/>
    <w:rsid w:val="00E249AF"/>
    <w:rsid w:val="00E26AA7"/>
    <w:rsid w:val="00E32046"/>
    <w:rsid w:val="00E33F55"/>
    <w:rsid w:val="00E40212"/>
    <w:rsid w:val="00E403D6"/>
    <w:rsid w:val="00E4048E"/>
    <w:rsid w:val="00E419E6"/>
    <w:rsid w:val="00E45A73"/>
    <w:rsid w:val="00E4600C"/>
    <w:rsid w:val="00E465DC"/>
    <w:rsid w:val="00E52070"/>
    <w:rsid w:val="00E542E6"/>
    <w:rsid w:val="00E5748A"/>
    <w:rsid w:val="00E610C0"/>
    <w:rsid w:val="00E61705"/>
    <w:rsid w:val="00E6226F"/>
    <w:rsid w:val="00E636D8"/>
    <w:rsid w:val="00E6627B"/>
    <w:rsid w:val="00E67F67"/>
    <w:rsid w:val="00E72802"/>
    <w:rsid w:val="00E77B6A"/>
    <w:rsid w:val="00E80E0C"/>
    <w:rsid w:val="00E81B48"/>
    <w:rsid w:val="00E82723"/>
    <w:rsid w:val="00E82D57"/>
    <w:rsid w:val="00E82FCE"/>
    <w:rsid w:val="00E84434"/>
    <w:rsid w:val="00E87705"/>
    <w:rsid w:val="00E87D24"/>
    <w:rsid w:val="00E909D3"/>
    <w:rsid w:val="00E91AA9"/>
    <w:rsid w:val="00E92AF9"/>
    <w:rsid w:val="00E93AD3"/>
    <w:rsid w:val="00E94549"/>
    <w:rsid w:val="00E9474E"/>
    <w:rsid w:val="00E97A63"/>
    <w:rsid w:val="00EA2B83"/>
    <w:rsid w:val="00EA2CD5"/>
    <w:rsid w:val="00EA3F54"/>
    <w:rsid w:val="00EA476B"/>
    <w:rsid w:val="00EA58F6"/>
    <w:rsid w:val="00EA5C37"/>
    <w:rsid w:val="00EA5EEF"/>
    <w:rsid w:val="00EA6055"/>
    <w:rsid w:val="00EA62CF"/>
    <w:rsid w:val="00EA72DC"/>
    <w:rsid w:val="00EA7587"/>
    <w:rsid w:val="00EA7E89"/>
    <w:rsid w:val="00EB3380"/>
    <w:rsid w:val="00EB4A12"/>
    <w:rsid w:val="00EB54A8"/>
    <w:rsid w:val="00EB68A3"/>
    <w:rsid w:val="00EC099D"/>
    <w:rsid w:val="00EC2B4A"/>
    <w:rsid w:val="00EC2C5B"/>
    <w:rsid w:val="00EC6715"/>
    <w:rsid w:val="00EC6AC5"/>
    <w:rsid w:val="00ED132D"/>
    <w:rsid w:val="00ED1F0F"/>
    <w:rsid w:val="00ED6595"/>
    <w:rsid w:val="00EE0D88"/>
    <w:rsid w:val="00EE0EDD"/>
    <w:rsid w:val="00EE0F69"/>
    <w:rsid w:val="00EE1FD4"/>
    <w:rsid w:val="00EE2F72"/>
    <w:rsid w:val="00EE3EC6"/>
    <w:rsid w:val="00EE49C3"/>
    <w:rsid w:val="00EE5F76"/>
    <w:rsid w:val="00EE65E6"/>
    <w:rsid w:val="00EE7D0D"/>
    <w:rsid w:val="00EF1567"/>
    <w:rsid w:val="00EF32AE"/>
    <w:rsid w:val="00EF3BAB"/>
    <w:rsid w:val="00EF4B6A"/>
    <w:rsid w:val="00EF5017"/>
    <w:rsid w:val="00EF5B48"/>
    <w:rsid w:val="00EF68AD"/>
    <w:rsid w:val="00EF7923"/>
    <w:rsid w:val="00F00440"/>
    <w:rsid w:val="00F016C5"/>
    <w:rsid w:val="00F0287C"/>
    <w:rsid w:val="00F037B9"/>
    <w:rsid w:val="00F05EF9"/>
    <w:rsid w:val="00F06E01"/>
    <w:rsid w:val="00F10A34"/>
    <w:rsid w:val="00F135D8"/>
    <w:rsid w:val="00F13947"/>
    <w:rsid w:val="00F14125"/>
    <w:rsid w:val="00F1592F"/>
    <w:rsid w:val="00F15B6E"/>
    <w:rsid w:val="00F20109"/>
    <w:rsid w:val="00F21772"/>
    <w:rsid w:val="00F25C5E"/>
    <w:rsid w:val="00F26737"/>
    <w:rsid w:val="00F347C9"/>
    <w:rsid w:val="00F35296"/>
    <w:rsid w:val="00F37262"/>
    <w:rsid w:val="00F452CA"/>
    <w:rsid w:val="00F470BE"/>
    <w:rsid w:val="00F501D0"/>
    <w:rsid w:val="00F50D32"/>
    <w:rsid w:val="00F52A72"/>
    <w:rsid w:val="00F52E41"/>
    <w:rsid w:val="00F52EA6"/>
    <w:rsid w:val="00F53C0F"/>
    <w:rsid w:val="00F543F9"/>
    <w:rsid w:val="00F54945"/>
    <w:rsid w:val="00F57AC4"/>
    <w:rsid w:val="00F61E20"/>
    <w:rsid w:val="00F6278D"/>
    <w:rsid w:val="00F63886"/>
    <w:rsid w:val="00F67926"/>
    <w:rsid w:val="00F710E0"/>
    <w:rsid w:val="00F720CF"/>
    <w:rsid w:val="00F73CC8"/>
    <w:rsid w:val="00F753D4"/>
    <w:rsid w:val="00F777C1"/>
    <w:rsid w:val="00F81828"/>
    <w:rsid w:val="00F82FE1"/>
    <w:rsid w:val="00F83EA6"/>
    <w:rsid w:val="00F84749"/>
    <w:rsid w:val="00F930AC"/>
    <w:rsid w:val="00F94151"/>
    <w:rsid w:val="00F94D74"/>
    <w:rsid w:val="00F94F64"/>
    <w:rsid w:val="00F951B2"/>
    <w:rsid w:val="00F95415"/>
    <w:rsid w:val="00F95CE5"/>
    <w:rsid w:val="00F95FC2"/>
    <w:rsid w:val="00F96D57"/>
    <w:rsid w:val="00F97034"/>
    <w:rsid w:val="00F97540"/>
    <w:rsid w:val="00FA25D8"/>
    <w:rsid w:val="00FA2C09"/>
    <w:rsid w:val="00FA2E51"/>
    <w:rsid w:val="00FA4A50"/>
    <w:rsid w:val="00FA6B4B"/>
    <w:rsid w:val="00FB1CF5"/>
    <w:rsid w:val="00FB23EC"/>
    <w:rsid w:val="00FB492A"/>
    <w:rsid w:val="00FB4DA8"/>
    <w:rsid w:val="00FC12FF"/>
    <w:rsid w:val="00FC299B"/>
    <w:rsid w:val="00FC4629"/>
    <w:rsid w:val="00FC54BD"/>
    <w:rsid w:val="00FC6127"/>
    <w:rsid w:val="00FC6208"/>
    <w:rsid w:val="00FC6F01"/>
    <w:rsid w:val="00FD36B0"/>
    <w:rsid w:val="00FD4F3C"/>
    <w:rsid w:val="00FD74BB"/>
    <w:rsid w:val="00FD7508"/>
    <w:rsid w:val="00FD7DA5"/>
    <w:rsid w:val="00FE0AE9"/>
    <w:rsid w:val="00FE0E8C"/>
    <w:rsid w:val="00FE247B"/>
    <w:rsid w:val="00FE323F"/>
    <w:rsid w:val="00FE3441"/>
    <w:rsid w:val="00FE3A77"/>
    <w:rsid w:val="00FF0E00"/>
    <w:rsid w:val="00FF0E38"/>
    <w:rsid w:val="00FF22E5"/>
    <w:rsid w:val="00FF2699"/>
    <w:rsid w:val="00FF26E3"/>
    <w:rsid w:val="00FF42D7"/>
    <w:rsid w:val="00FF4C3B"/>
    <w:rsid w:val="00FF7E7D"/>
    <w:rsid w:val="010C2BAB"/>
    <w:rsid w:val="012B5F52"/>
    <w:rsid w:val="01352967"/>
    <w:rsid w:val="01505CFB"/>
    <w:rsid w:val="01535CC4"/>
    <w:rsid w:val="0159301C"/>
    <w:rsid w:val="01673D93"/>
    <w:rsid w:val="01F176F8"/>
    <w:rsid w:val="02080908"/>
    <w:rsid w:val="023128A5"/>
    <w:rsid w:val="02421D02"/>
    <w:rsid w:val="0295339B"/>
    <w:rsid w:val="04180F6C"/>
    <w:rsid w:val="04425FE9"/>
    <w:rsid w:val="0469042F"/>
    <w:rsid w:val="047A1C32"/>
    <w:rsid w:val="04A66578"/>
    <w:rsid w:val="04B035D7"/>
    <w:rsid w:val="04B50EB1"/>
    <w:rsid w:val="051E3AF9"/>
    <w:rsid w:val="05246268"/>
    <w:rsid w:val="05532906"/>
    <w:rsid w:val="056326BB"/>
    <w:rsid w:val="05872721"/>
    <w:rsid w:val="05935E1D"/>
    <w:rsid w:val="05AE788F"/>
    <w:rsid w:val="05BB42A5"/>
    <w:rsid w:val="05E94B07"/>
    <w:rsid w:val="05F70D2B"/>
    <w:rsid w:val="062A142B"/>
    <w:rsid w:val="06413050"/>
    <w:rsid w:val="0659586C"/>
    <w:rsid w:val="06AB5D57"/>
    <w:rsid w:val="06CA7ADA"/>
    <w:rsid w:val="06D97B7D"/>
    <w:rsid w:val="07061550"/>
    <w:rsid w:val="07197A68"/>
    <w:rsid w:val="07F817E1"/>
    <w:rsid w:val="07FE66CB"/>
    <w:rsid w:val="08452820"/>
    <w:rsid w:val="084F79CD"/>
    <w:rsid w:val="08971BA1"/>
    <w:rsid w:val="08E06A0B"/>
    <w:rsid w:val="08E468C7"/>
    <w:rsid w:val="093D5B9C"/>
    <w:rsid w:val="09BC58CD"/>
    <w:rsid w:val="0A06464E"/>
    <w:rsid w:val="0A7B17CC"/>
    <w:rsid w:val="0A9F6781"/>
    <w:rsid w:val="0AC631DE"/>
    <w:rsid w:val="0AC93120"/>
    <w:rsid w:val="0ACF19B1"/>
    <w:rsid w:val="0B4B1C27"/>
    <w:rsid w:val="0B4F5282"/>
    <w:rsid w:val="0B702921"/>
    <w:rsid w:val="0B887BDD"/>
    <w:rsid w:val="0B9C054B"/>
    <w:rsid w:val="0BCB4B6A"/>
    <w:rsid w:val="0BE03D36"/>
    <w:rsid w:val="0BE42B54"/>
    <w:rsid w:val="0C1E6991"/>
    <w:rsid w:val="0C41784F"/>
    <w:rsid w:val="0C621C51"/>
    <w:rsid w:val="0C945850"/>
    <w:rsid w:val="0C9D4705"/>
    <w:rsid w:val="0CC021A1"/>
    <w:rsid w:val="0CD4661D"/>
    <w:rsid w:val="0D8238FA"/>
    <w:rsid w:val="0D82620F"/>
    <w:rsid w:val="0D9901EF"/>
    <w:rsid w:val="0DF054F8"/>
    <w:rsid w:val="0DFD36A2"/>
    <w:rsid w:val="0E3E3CC5"/>
    <w:rsid w:val="0EA24254"/>
    <w:rsid w:val="0EE46C6A"/>
    <w:rsid w:val="0F0C5B71"/>
    <w:rsid w:val="0F0F11BE"/>
    <w:rsid w:val="0F2A03FC"/>
    <w:rsid w:val="0F6323EA"/>
    <w:rsid w:val="0FD3668F"/>
    <w:rsid w:val="0FE34B24"/>
    <w:rsid w:val="0FE443F8"/>
    <w:rsid w:val="0FEE1F35"/>
    <w:rsid w:val="0FF01DCA"/>
    <w:rsid w:val="101557F0"/>
    <w:rsid w:val="1093338A"/>
    <w:rsid w:val="10AD2DF5"/>
    <w:rsid w:val="10B22D39"/>
    <w:rsid w:val="10FD22B3"/>
    <w:rsid w:val="10FD7E68"/>
    <w:rsid w:val="1102722C"/>
    <w:rsid w:val="1107547A"/>
    <w:rsid w:val="11185848"/>
    <w:rsid w:val="1128487D"/>
    <w:rsid w:val="11592226"/>
    <w:rsid w:val="11651569"/>
    <w:rsid w:val="11683F1B"/>
    <w:rsid w:val="11805498"/>
    <w:rsid w:val="118E551D"/>
    <w:rsid w:val="11C84E35"/>
    <w:rsid w:val="11D706B9"/>
    <w:rsid w:val="12136B3F"/>
    <w:rsid w:val="12235CD5"/>
    <w:rsid w:val="12476426"/>
    <w:rsid w:val="128D4355"/>
    <w:rsid w:val="12DF2A5A"/>
    <w:rsid w:val="132C6A5A"/>
    <w:rsid w:val="133A5A81"/>
    <w:rsid w:val="13A754E5"/>
    <w:rsid w:val="14BE1CA3"/>
    <w:rsid w:val="14C447F8"/>
    <w:rsid w:val="14D11E62"/>
    <w:rsid w:val="151632A6"/>
    <w:rsid w:val="15587FB4"/>
    <w:rsid w:val="16494B2F"/>
    <w:rsid w:val="17193A3C"/>
    <w:rsid w:val="17296BCA"/>
    <w:rsid w:val="17546308"/>
    <w:rsid w:val="185C36C6"/>
    <w:rsid w:val="18BF1A54"/>
    <w:rsid w:val="18CE1DEC"/>
    <w:rsid w:val="18ED2570"/>
    <w:rsid w:val="193C6F2A"/>
    <w:rsid w:val="19505FC6"/>
    <w:rsid w:val="19656A32"/>
    <w:rsid w:val="198056E6"/>
    <w:rsid w:val="19BE3676"/>
    <w:rsid w:val="19C172A8"/>
    <w:rsid w:val="19C659EC"/>
    <w:rsid w:val="19D00DAC"/>
    <w:rsid w:val="1A3B555D"/>
    <w:rsid w:val="1A5A06D6"/>
    <w:rsid w:val="1AAA4F67"/>
    <w:rsid w:val="1AAE1E8A"/>
    <w:rsid w:val="1AD00105"/>
    <w:rsid w:val="1AD2506C"/>
    <w:rsid w:val="1AD54864"/>
    <w:rsid w:val="1AEC1FB0"/>
    <w:rsid w:val="1B2E0C1E"/>
    <w:rsid w:val="1B384340"/>
    <w:rsid w:val="1BAD7475"/>
    <w:rsid w:val="1BCA31B2"/>
    <w:rsid w:val="1C0F4EF3"/>
    <w:rsid w:val="1C2437EB"/>
    <w:rsid w:val="1C2A13F3"/>
    <w:rsid w:val="1C376D48"/>
    <w:rsid w:val="1C6422FE"/>
    <w:rsid w:val="1C662D65"/>
    <w:rsid w:val="1C833A38"/>
    <w:rsid w:val="1CA4388D"/>
    <w:rsid w:val="1CA47A0D"/>
    <w:rsid w:val="1CAE64BA"/>
    <w:rsid w:val="1CEF5914"/>
    <w:rsid w:val="1CFF196A"/>
    <w:rsid w:val="1D0205B4"/>
    <w:rsid w:val="1D28626C"/>
    <w:rsid w:val="1D2A34AD"/>
    <w:rsid w:val="1D614730"/>
    <w:rsid w:val="1DC11182"/>
    <w:rsid w:val="1DCD3672"/>
    <w:rsid w:val="1DDB32DF"/>
    <w:rsid w:val="1E340C41"/>
    <w:rsid w:val="1EC10726"/>
    <w:rsid w:val="1EE86EE3"/>
    <w:rsid w:val="1EFB169C"/>
    <w:rsid w:val="1F106FB8"/>
    <w:rsid w:val="1F211466"/>
    <w:rsid w:val="1F9E0BB4"/>
    <w:rsid w:val="1FA151A7"/>
    <w:rsid w:val="1FAA7523"/>
    <w:rsid w:val="2042684B"/>
    <w:rsid w:val="204F5D9B"/>
    <w:rsid w:val="20713A86"/>
    <w:rsid w:val="20CF35EE"/>
    <w:rsid w:val="20E35EDF"/>
    <w:rsid w:val="210332F7"/>
    <w:rsid w:val="21212A22"/>
    <w:rsid w:val="213C4D8C"/>
    <w:rsid w:val="214649B7"/>
    <w:rsid w:val="215D225D"/>
    <w:rsid w:val="217C26E3"/>
    <w:rsid w:val="21B46442"/>
    <w:rsid w:val="21ED1832"/>
    <w:rsid w:val="220B3A67"/>
    <w:rsid w:val="224C6F54"/>
    <w:rsid w:val="2252772C"/>
    <w:rsid w:val="225E44DE"/>
    <w:rsid w:val="227A05E7"/>
    <w:rsid w:val="232F19D7"/>
    <w:rsid w:val="233D5EA2"/>
    <w:rsid w:val="23622525"/>
    <w:rsid w:val="23AB5501"/>
    <w:rsid w:val="23B172F2"/>
    <w:rsid w:val="23BF4A68"/>
    <w:rsid w:val="23FD052A"/>
    <w:rsid w:val="241E2177"/>
    <w:rsid w:val="24244291"/>
    <w:rsid w:val="243523CB"/>
    <w:rsid w:val="24397A54"/>
    <w:rsid w:val="244A1193"/>
    <w:rsid w:val="24860706"/>
    <w:rsid w:val="24B14D99"/>
    <w:rsid w:val="24BB1774"/>
    <w:rsid w:val="24E30B4F"/>
    <w:rsid w:val="25410798"/>
    <w:rsid w:val="265500D6"/>
    <w:rsid w:val="26553E1B"/>
    <w:rsid w:val="271A6261"/>
    <w:rsid w:val="27822A1D"/>
    <w:rsid w:val="27C052F3"/>
    <w:rsid w:val="27D72D69"/>
    <w:rsid w:val="27DC6CF5"/>
    <w:rsid w:val="27E81EE6"/>
    <w:rsid w:val="27FF3ADB"/>
    <w:rsid w:val="2886653D"/>
    <w:rsid w:val="288E0F4E"/>
    <w:rsid w:val="28DE0127"/>
    <w:rsid w:val="28E75EE1"/>
    <w:rsid w:val="28F13D40"/>
    <w:rsid w:val="28F4381E"/>
    <w:rsid w:val="296C74E1"/>
    <w:rsid w:val="297A4743"/>
    <w:rsid w:val="29E05CB3"/>
    <w:rsid w:val="2A0B044C"/>
    <w:rsid w:val="2A306A8E"/>
    <w:rsid w:val="2A4C5876"/>
    <w:rsid w:val="2A750617"/>
    <w:rsid w:val="2A96648E"/>
    <w:rsid w:val="2A9C2048"/>
    <w:rsid w:val="2AFC6642"/>
    <w:rsid w:val="2B0A5203"/>
    <w:rsid w:val="2B6129DA"/>
    <w:rsid w:val="2B763DE1"/>
    <w:rsid w:val="2BA63841"/>
    <w:rsid w:val="2BB971E1"/>
    <w:rsid w:val="2BF35E77"/>
    <w:rsid w:val="2C204F7B"/>
    <w:rsid w:val="2C2675D1"/>
    <w:rsid w:val="2C5A412F"/>
    <w:rsid w:val="2C6646BB"/>
    <w:rsid w:val="2C6B4AC3"/>
    <w:rsid w:val="2CC106CB"/>
    <w:rsid w:val="2CE12A73"/>
    <w:rsid w:val="2D12039F"/>
    <w:rsid w:val="2D597216"/>
    <w:rsid w:val="2D684463"/>
    <w:rsid w:val="2D9622B6"/>
    <w:rsid w:val="2DB25F28"/>
    <w:rsid w:val="2DB87198"/>
    <w:rsid w:val="2DBD1ABE"/>
    <w:rsid w:val="2DD02422"/>
    <w:rsid w:val="2DD55AD9"/>
    <w:rsid w:val="2DE012DA"/>
    <w:rsid w:val="2DE0757D"/>
    <w:rsid w:val="2DE81FA0"/>
    <w:rsid w:val="2DEA16C1"/>
    <w:rsid w:val="2DF31F7F"/>
    <w:rsid w:val="2DFF7E04"/>
    <w:rsid w:val="2E1F55C0"/>
    <w:rsid w:val="2E3003DD"/>
    <w:rsid w:val="2EB55486"/>
    <w:rsid w:val="2EBC62E3"/>
    <w:rsid w:val="2F6E1DEC"/>
    <w:rsid w:val="2F9DB19D"/>
    <w:rsid w:val="2F9E416C"/>
    <w:rsid w:val="2FC8359B"/>
    <w:rsid w:val="2FCC0D61"/>
    <w:rsid w:val="2FEC4FAC"/>
    <w:rsid w:val="30110AE9"/>
    <w:rsid w:val="303F591A"/>
    <w:rsid w:val="304545E8"/>
    <w:rsid w:val="309A7A78"/>
    <w:rsid w:val="30B005FB"/>
    <w:rsid w:val="313D4781"/>
    <w:rsid w:val="317C04DD"/>
    <w:rsid w:val="3184123C"/>
    <w:rsid w:val="32116E77"/>
    <w:rsid w:val="32472899"/>
    <w:rsid w:val="3264169D"/>
    <w:rsid w:val="32AC4DF2"/>
    <w:rsid w:val="332A1ACD"/>
    <w:rsid w:val="33384B15"/>
    <w:rsid w:val="335661A6"/>
    <w:rsid w:val="33606461"/>
    <w:rsid w:val="336B0809"/>
    <w:rsid w:val="33FE6F38"/>
    <w:rsid w:val="340B1178"/>
    <w:rsid w:val="340D18C0"/>
    <w:rsid w:val="3434509F"/>
    <w:rsid w:val="346664F7"/>
    <w:rsid w:val="346911EC"/>
    <w:rsid w:val="346A57D2"/>
    <w:rsid w:val="346F0EE3"/>
    <w:rsid w:val="3474193F"/>
    <w:rsid w:val="34763909"/>
    <w:rsid w:val="34F32686"/>
    <w:rsid w:val="353D00B7"/>
    <w:rsid w:val="355D23D3"/>
    <w:rsid w:val="355F439E"/>
    <w:rsid w:val="35957DBF"/>
    <w:rsid w:val="35973B37"/>
    <w:rsid w:val="36315133"/>
    <w:rsid w:val="364517E5"/>
    <w:rsid w:val="36547A91"/>
    <w:rsid w:val="365A0A03"/>
    <w:rsid w:val="36D1369A"/>
    <w:rsid w:val="36D6115D"/>
    <w:rsid w:val="36DB371A"/>
    <w:rsid w:val="370074BA"/>
    <w:rsid w:val="37016B5B"/>
    <w:rsid w:val="371C0798"/>
    <w:rsid w:val="373E1CFE"/>
    <w:rsid w:val="375C0D63"/>
    <w:rsid w:val="377B53FE"/>
    <w:rsid w:val="37B07AF8"/>
    <w:rsid w:val="38213B8C"/>
    <w:rsid w:val="386325CE"/>
    <w:rsid w:val="38640E25"/>
    <w:rsid w:val="38B14F10"/>
    <w:rsid w:val="38EE7F12"/>
    <w:rsid w:val="38F94718"/>
    <w:rsid w:val="390E5AA4"/>
    <w:rsid w:val="39491472"/>
    <w:rsid w:val="39671CB2"/>
    <w:rsid w:val="399C7D9C"/>
    <w:rsid w:val="39A84565"/>
    <w:rsid w:val="39CC3F57"/>
    <w:rsid w:val="39D517CB"/>
    <w:rsid w:val="39E31FA9"/>
    <w:rsid w:val="39E3734B"/>
    <w:rsid w:val="3A2D5B98"/>
    <w:rsid w:val="3A3B544D"/>
    <w:rsid w:val="3A58789B"/>
    <w:rsid w:val="3A66321F"/>
    <w:rsid w:val="3AA3302B"/>
    <w:rsid w:val="3B246109"/>
    <w:rsid w:val="3B3836C7"/>
    <w:rsid w:val="3B384D23"/>
    <w:rsid w:val="3B5003B8"/>
    <w:rsid w:val="3BEA31E1"/>
    <w:rsid w:val="3C1804B3"/>
    <w:rsid w:val="3C1B0F42"/>
    <w:rsid w:val="3C296441"/>
    <w:rsid w:val="3C66236F"/>
    <w:rsid w:val="3C903088"/>
    <w:rsid w:val="3D5216C0"/>
    <w:rsid w:val="3D5F6052"/>
    <w:rsid w:val="3D6F7148"/>
    <w:rsid w:val="3DA61E89"/>
    <w:rsid w:val="3DC04DE2"/>
    <w:rsid w:val="3DD05E38"/>
    <w:rsid w:val="3E066ACA"/>
    <w:rsid w:val="3E1D2E9B"/>
    <w:rsid w:val="3E5D1C81"/>
    <w:rsid w:val="3EC15C6F"/>
    <w:rsid w:val="3EFA5515"/>
    <w:rsid w:val="3F047D0D"/>
    <w:rsid w:val="3F283A52"/>
    <w:rsid w:val="3F870779"/>
    <w:rsid w:val="3F8D74B1"/>
    <w:rsid w:val="3FA73DAF"/>
    <w:rsid w:val="3FBF7EFA"/>
    <w:rsid w:val="3FF83425"/>
    <w:rsid w:val="40316258"/>
    <w:rsid w:val="40343C85"/>
    <w:rsid w:val="40582115"/>
    <w:rsid w:val="40707630"/>
    <w:rsid w:val="407C5E04"/>
    <w:rsid w:val="40B97058"/>
    <w:rsid w:val="40C94DC1"/>
    <w:rsid w:val="413E3A8A"/>
    <w:rsid w:val="415B010F"/>
    <w:rsid w:val="41AA4BF2"/>
    <w:rsid w:val="41BF6E2B"/>
    <w:rsid w:val="41C37A62"/>
    <w:rsid w:val="42133285"/>
    <w:rsid w:val="421B789E"/>
    <w:rsid w:val="42507825"/>
    <w:rsid w:val="42536505"/>
    <w:rsid w:val="42AB6E74"/>
    <w:rsid w:val="430D5439"/>
    <w:rsid w:val="4311685E"/>
    <w:rsid w:val="438E4E05"/>
    <w:rsid w:val="43A0005B"/>
    <w:rsid w:val="43B43B06"/>
    <w:rsid w:val="4482138B"/>
    <w:rsid w:val="44923C8C"/>
    <w:rsid w:val="44D02BC2"/>
    <w:rsid w:val="44DE6C38"/>
    <w:rsid w:val="454048AB"/>
    <w:rsid w:val="45555209"/>
    <w:rsid w:val="455A22AB"/>
    <w:rsid w:val="456442B5"/>
    <w:rsid w:val="457A48DC"/>
    <w:rsid w:val="463C745C"/>
    <w:rsid w:val="465E4DA3"/>
    <w:rsid w:val="468B4FF2"/>
    <w:rsid w:val="46AC5357"/>
    <w:rsid w:val="46BD2A8C"/>
    <w:rsid w:val="46DF0CB9"/>
    <w:rsid w:val="46E75184"/>
    <w:rsid w:val="470D1475"/>
    <w:rsid w:val="473142C2"/>
    <w:rsid w:val="477C493B"/>
    <w:rsid w:val="47882FB5"/>
    <w:rsid w:val="478F7A25"/>
    <w:rsid w:val="47D7511C"/>
    <w:rsid w:val="47DA6FED"/>
    <w:rsid w:val="47E24B7B"/>
    <w:rsid w:val="47E50732"/>
    <w:rsid w:val="48515DC8"/>
    <w:rsid w:val="4864156E"/>
    <w:rsid w:val="48877A3B"/>
    <w:rsid w:val="48D72BAB"/>
    <w:rsid w:val="490270C2"/>
    <w:rsid w:val="49227764"/>
    <w:rsid w:val="49301412"/>
    <w:rsid w:val="495025EB"/>
    <w:rsid w:val="49B3664D"/>
    <w:rsid w:val="49E8275C"/>
    <w:rsid w:val="4A120D07"/>
    <w:rsid w:val="4AA20DCD"/>
    <w:rsid w:val="4AB158A6"/>
    <w:rsid w:val="4AB75150"/>
    <w:rsid w:val="4AC42AFF"/>
    <w:rsid w:val="4AC95EC1"/>
    <w:rsid w:val="4AE47FB2"/>
    <w:rsid w:val="4AFF1B0B"/>
    <w:rsid w:val="4B632B6F"/>
    <w:rsid w:val="4B7517EF"/>
    <w:rsid w:val="4BAA5BDD"/>
    <w:rsid w:val="4BB10FD8"/>
    <w:rsid w:val="4BBC3274"/>
    <w:rsid w:val="4BCE772F"/>
    <w:rsid w:val="4BDE22A6"/>
    <w:rsid w:val="4BEF5479"/>
    <w:rsid w:val="4C0360C1"/>
    <w:rsid w:val="4C07090C"/>
    <w:rsid w:val="4C184539"/>
    <w:rsid w:val="4CDE6E72"/>
    <w:rsid w:val="4CFD3592"/>
    <w:rsid w:val="4D127F16"/>
    <w:rsid w:val="4D210A8C"/>
    <w:rsid w:val="4D715366"/>
    <w:rsid w:val="4DC332C4"/>
    <w:rsid w:val="4DFA0CB0"/>
    <w:rsid w:val="4E265CF2"/>
    <w:rsid w:val="4E3A10AC"/>
    <w:rsid w:val="4E4F6673"/>
    <w:rsid w:val="4E5F7A5E"/>
    <w:rsid w:val="4E617142"/>
    <w:rsid w:val="4E962786"/>
    <w:rsid w:val="4EDB46BD"/>
    <w:rsid w:val="4EDE5709"/>
    <w:rsid w:val="4EE148F4"/>
    <w:rsid w:val="4EFE46BC"/>
    <w:rsid w:val="4F4B5F19"/>
    <w:rsid w:val="4F8A0F43"/>
    <w:rsid w:val="4F9128E7"/>
    <w:rsid w:val="4FD11CE0"/>
    <w:rsid w:val="4FD25A40"/>
    <w:rsid w:val="51444013"/>
    <w:rsid w:val="51561357"/>
    <w:rsid w:val="516157B5"/>
    <w:rsid w:val="518E1E3B"/>
    <w:rsid w:val="51A65CD9"/>
    <w:rsid w:val="51C846B8"/>
    <w:rsid w:val="51EE4687"/>
    <w:rsid w:val="520F75A8"/>
    <w:rsid w:val="521B74FF"/>
    <w:rsid w:val="524173DF"/>
    <w:rsid w:val="52713A94"/>
    <w:rsid w:val="52B4767F"/>
    <w:rsid w:val="52F62B54"/>
    <w:rsid w:val="52FD39DF"/>
    <w:rsid w:val="532E13F5"/>
    <w:rsid w:val="53436CB1"/>
    <w:rsid w:val="53437F61"/>
    <w:rsid w:val="539D76E1"/>
    <w:rsid w:val="53D64E84"/>
    <w:rsid w:val="53DB0C3B"/>
    <w:rsid w:val="53E37B97"/>
    <w:rsid w:val="543A3BB4"/>
    <w:rsid w:val="543F151A"/>
    <w:rsid w:val="5449029B"/>
    <w:rsid w:val="545729B8"/>
    <w:rsid w:val="54B5148C"/>
    <w:rsid w:val="54B90DDB"/>
    <w:rsid w:val="54C066CF"/>
    <w:rsid w:val="54D30705"/>
    <w:rsid w:val="54E6126B"/>
    <w:rsid w:val="54EA311E"/>
    <w:rsid w:val="555A44C1"/>
    <w:rsid w:val="55763F84"/>
    <w:rsid w:val="558B2585"/>
    <w:rsid w:val="560A6185"/>
    <w:rsid w:val="56257BD3"/>
    <w:rsid w:val="568F2266"/>
    <w:rsid w:val="569E2BA7"/>
    <w:rsid w:val="56A27288"/>
    <w:rsid w:val="56AD4451"/>
    <w:rsid w:val="56C65BD3"/>
    <w:rsid w:val="56CB4F97"/>
    <w:rsid w:val="56E878F7"/>
    <w:rsid w:val="570108EB"/>
    <w:rsid w:val="570C4F8A"/>
    <w:rsid w:val="572D20CC"/>
    <w:rsid w:val="57662666"/>
    <w:rsid w:val="58093FC9"/>
    <w:rsid w:val="580E1EEE"/>
    <w:rsid w:val="58346B6C"/>
    <w:rsid w:val="585A59C4"/>
    <w:rsid w:val="586F67F3"/>
    <w:rsid w:val="58931AE5"/>
    <w:rsid w:val="58AD3D6E"/>
    <w:rsid w:val="58B25C30"/>
    <w:rsid w:val="58ED6699"/>
    <w:rsid w:val="593F24A5"/>
    <w:rsid w:val="59DE00CD"/>
    <w:rsid w:val="59E4505B"/>
    <w:rsid w:val="5ACF7EDE"/>
    <w:rsid w:val="5ADC1FCA"/>
    <w:rsid w:val="5B4FFB25"/>
    <w:rsid w:val="5B8F499A"/>
    <w:rsid w:val="5BDC5751"/>
    <w:rsid w:val="5C4F0418"/>
    <w:rsid w:val="5C58551F"/>
    <w:rsid w:val="5C61314A"/>
    <w:rsid w:val="5C78796F"/>
    <w:rsid w:val="5D357F0B"/>
    <w:rsid w:val="5D55732C"/>
    <w:rsid w:val="5D9D39E9"/>
    <w:rsid w:val="5DD67CB5"/>
    <w:rsid w:val="5DE0264B"/>
    <w:rsid w:val="5E1B2DF8"/>
    <w:rsid w:val="5E70397C"/>
    <w:rsid w:val="5E7215F1"/>
    <w:rsid w:val="5E8720EC"/>
    <w:rsid w:val="5ECB4CC4"/>
    <w:rsid w:val="5EDD7F5D"/>
    <w:rsid w:val="5EF0369D"/>
    <w:rsid w:val="5F0F1B3E"/>
    <w:rsid w:val="5F44415B"/>
    <w:rsid w:val="5F5554F7"/>
    <w:rsid w:val="5F7F698F"/>
    <w:rsid w:val="5FAB5605"/>
    <w:rsid w:val="5FD274FA"/>
    <w:rsid w:val="602A5424"/>
    <w:rsid w:val="60524605"/>
    <w:rsid w:val="606C77EB"/>
    <w:rsid w:val="60B66CB8"/>
    <w:rsid w:val="60DE31DC"/>
    <w:rsid w:val="61031E60"/>
    <w:rsid w:val="6117739C"/>
    <w:rsid w:val="613861D2"/>
    <w:rsid w:val="613A1697"/>
    <w:rsid w:val="61710DEE"/>
    <w:rsid w:val="617F354E"/>
    <w:rsid w:val="6189617B"/>
    <w:rsid w:val="61BA27D8"/>
    <w:rsid w:val="61D225E7"/>
    <w:rsid w:val="62086F99"/>
    <w:rsid w:val="622D4D58"/>
    <w:rsid w:val="62464C86"/>
    <w:rsid w:val="625A2DFD"/>
    <w:rsid w:val="625C563D"/>
    <w:rsid w:val="628D44BB"/>
    <w:rsid w:val="629A5CD0"/>
    <w:rsid w:val="62AC7970"/>
    <w:rsid w:val="62B41426"/>
    <w:rsid w:val="62C76F5B"/>
    <w:rsid w:val="62F44622"/>
    <w:rsid w:val="63224191"/>
    <w:rsid w:val="63371F27"/>
    <w:rsid w:val="63737AA4"/>
    <w:rsid w:val="638E5CCA"/>
    <w:rsid w:val="63CB614E"/>
    <w:rsid w:val="63CC234F"/>
    <w:rsid w:val="63E5596E"/>
    <w:rsid w:val="644E18FA"/>
    <w:rsid w:val="6474329C"/>
    <w:rsid w:val="64A07A63"/>
    <w:rsid w:val="64E577E9"/>
    <w:rsid w:val="64F0230E"/>
    <w:rsid w:val="6564208E"/>
    <w:rsid w:val="65821C5A"/>
    <w:rsid w:val="65AB728F"/>
    <w:rsid w:val="65D976D1"/>
    <w:rsid w:val="65E93BD9"/>
    <w:rsid w:val="6656415A"/>
    <w:rsid w:val="667E4482"/>
    <w:rsid w:val="671A6C35"/>
    <w:rsid w:val="672A7AB8"/>
    <w:rsid w:val="67323B99"/>
    <w:rsid w:val="67437282"/>
    <w:rsid w:val="67A03E32"/>
    <w:rsid w:val="67AE2497"/>
    <w:rsid w:val="67B3338F"/>
    <w:rsid w:val="67EE3E86"/>
    <w:rsid w:val="682C160E"/>
    <w:rsid w:val="68752292"/>
    <w:rsid w:val="6889764A"/>
    <w:rsid w:val="68A5389A"/>
    <w:rsid w:val="68BC4A27"/>
    <w:rsid w:val="68F75FCA"/>
    <w:rsid w:val="68F91152"/>
    <w:rsid w:val="690A7BA1"/>
    <w:rsid w:val="691D5B26"/>
    <w:rsid w:val="692D26C6"/>
    <w:rsid w:val="69863032"/>
    <w:rsid w:val="698910DE"/>
    <w:rsid w:val="699A7177"/>
    <w:rsid w:val="69B21625"/>
    <w:rsid w:val="69EC54F9"/>
    <w:rsid w:val="69F234FE"/>
    <w:rsid w:val="69FB06EF"/>
    <w:rsid w:val="6A953FED"/>
    <w:rsid w:val="6AA00549"/>
    <w:rsid w:val="6AAA142F"/>
    <w:rsid w:val="6AD16513"/>
    <w:rsid w:val="6B380425"/>
    <w:rsid w:val="6B574BF4"/>
    <w:rsid w:val="6B8E437F"/>
    <w:rsid w:val="6BF3565B"/>
    <w:rsid w:val="6C2E004A"/>
    <w:rsid w:val="6C3F6B0F"/>
    <w:rsid w:val="6C517895"/>
    <w:rsid w:val="6C56076F"/>
    <w:rsid w:val="6CD36E77"/>
    <w:rsid w:val="6CE20F96"/>
    <w:rsid w:val="6D22376C"/>
    <w:rsid w:val="6D273C89"/>
    <w:rsid w:val="6D27515F"/>
    <w:rsid w:val="6D2E0DC6"/>
    <w:rsid w:val="6D7170C0"/>
    <w:rsid w:val="6D8D0DA1"/>
    <w:rsid w:val="6DE10F7A"/>
    <w:rsid w:val="6DF35192"/>
    <w:rsid w:val="6E055C03"/>
    <w:rsid w:val="6E1A20BD"/>
    <w:rsid w:val="6E25798F"/>
    <w:rsid w:val="6E2D1B28"/>
    <w:rsid w:val="6E43783C"/>
    <w:rsid w:val="6E6B54D0"/>
    <w:rsid w:val="6E923579"/>
    <w:rsid w:val="6ED50C51"/>
    <w:rsid w:val="6EE81335"/>
    <w:rsid w:val="6EF54E4F"/>
    <w:rsid w:val="6F00394E"/>
    <w:rsid w:val="6F011750"/>
    <w:rsid w:val="6F795A80"/>
    <w:rsid w:val="6F983FBB"/>
    <w:rsid w:val="6F9929FB"/>
    <w:rsid w:val="6FA23C43"/>
    <w:rsid w:val="6FBE159C"/>
    <w:rsid w:val="6FD607DD"/>
    <w:rsid w:val="6FDD5496"/>
    <w:rsid w:val="6FFF9510"/>
    <w:rsid w:val="701666D1"/>
    <w:rsid w:val="70297555"/>
    <w:rsid w:val="705F6A24"/>
    <w:rsid w:val="7161216A"/>
    <w:rsid w:val="71816E6E"/>
    <w:rsid w:val="721675B7"/>
    <w:rsid w:val="722C2129"/>
    <w:rsid w:val="723675B5"/>
    <w:rsid w:val="727849AC"/>
    <w:rsid w:val="72BD57FC"/>
    <w:rsid w:val="72ED2C65"/>
    <w:rsid w:val="73047CAA"/>
    <w:rsid w:val="733C6AD6"/>
    <w:rsid w:val="734D617B"/>
    <w:rsid w:val="73532145"/>
    <w:rsid w:val="73AD5CF9"/>
    <w:rsid w:val="73C848E1"/>
    <w:rsid w:val="73E007D8"/>
    <w:rsid w:val="73EB05CF"/>
    <w:rsid w:val="74413A93"/>
    <w:rsid w:val="745C4105"/>
    <w:rsid w:val="748051BB"/>
    <w:rsid w:val="748E78D8"/>
    <w:rsid w:val="74FE34B8"/>
    <w:rsid w:val="75024A79"/>
    <w:rsid w:val="7537F9A8"/>
    <w:rsid w:val="753C2EB5"/>
    <w:rsid w:val="75795BA8"/>
    <w:rsid w:val="76024EB7"/>
    <w:rsid w:val="766A677C"/>
    <w:rsid w:val="76A258BD"/>
    <w:rsid w:val="76C849B9"/>
    <w:rsid w:val="76D11704"/>
    <w:rsid w:val="76EE465E"/>
    <w:rsid w:val="77AA4CAB"/>
    <w:rsid w:val="77B5517C"/>
    <w:rsid w:val="77FFA479"/>
    <w:rsid w:val="780103C1"/>
    <w:rsid w:val="781D3A2F"/>
    <w:rsid w:val="786728F7"/>
    <w:rsid w:val="78AD2C12"/>
    <w:rsid w:val="78BE4504"/>
    <w:rsid w:val="790A14F7"/>
    <w:rsid w:val="79382508"/>
    <w:rsid w:val="793F3242"/>
    <w:rsid w:val="797846B3"/>
    <w:rsid w:val="7981365D"/>
    <w:rsid w:val="79AD0439"/>
    <w:rsid w:val="79F5578E"/>
    <w:rsid w:val="7A270797"/>
    <w:rsid w:val="7A276E16"/>
    <w:rsid w:val="7A300B10"/>
    <w:rsid w:val="7AB91DEA"/>
    <w:rsid w:val="7B355345"/>
    <w:rsid w:val="7B7B61C8"/>
    <w:rsid w:val="7B8FFF0B"/>
    <w:rsid w:val="7BC938EC"/>
    <w:rsid w:val="7BD521C2"/>
    <w:rsid w:val="7BDA7BBE"/>
    <w:rsid w:val="7BF54C90"/>
    <w:rsid w:val="7C27086C"/>
    <w:rsid w:val="7C28645C"/>
    <w:rsid w:val="7C404B81"/>
    <w:rsid w:val="7C496587"/>
    <w:rsid w:val="7C4E5B9F"/>
    <w:rsid w:val="7CF2415B"/>
    <w:rsid w:val="7D2C68F3"/>
    <w:rsid w:val="7D5B0573"/>
    <w:rsid w:val="7D6A4613"/>
    <w:rsid w:val="7D717D97"/>
    <w:rsid w:val="7DA63EE4"/>
    <w:rsid w:val="7DA77C5D"/>
    <w:rsid w:val="7DAD5556"/>
    <w:rsid w:val="7DC80E2E"/>
    <w:rsid w:val="7DFD162B"/>
    <w:rsid w:val="7E0E706F"/>
    <w:rsid w:val="7E244E09"/>
    <w:rsid w:val="7E9B0EF6"/>
    <w:rsid w:val="7EA1193A"/>
    <w:rsid w:val="7EE12CFA"/>
    <w:rsid w:val="7F2A28F3"/>
    <w:rsid w:val="7F6A2CF0"/>
    <w:rsid w:val="7FAD2728"/>
    <w:rsid w:val="7FBA7737"/>
    <w:rsid w:val="7FBB60DA"/>
    <w:rsid w:val="7FF77D2A"/>
    <w:rsid w:val="9FF6D5C8"/>
    <w:rsid w:val="BDFB039C"/>
    <w:rsid w:val="BFBF10B3"/>
    <w:rsid w:val="D77ABA1E"/>
    <w:rsid w:val="F7DF2A21"/>
    <w:rsid w:val="FBFFF7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hint="eastAsia" w:cs="Times New Roman"/>
      <w:b/>
      <w:bCs/>
      <w:sz w:val="36"/>
      <w:szCs w:val="36"/>
    </w:rPr>
  </w:style>
  <w:style w:type="paragraph" w:styleId="3">
    <w:name w:val="heading 3"/>
    <w:basedOn w:val="1"/>
    <w:next w:val="1"/>
    <w:link w:val="17"/>
    <w:qFormat/>
    <w:uiPriority w:val="9"/>
    <w:pPr>
      <w:keepNext/>
      <w:keepLines/>
      <w:contextualSpacing/>
      <w:outlineLvl w:val="2"/>
    </w:pPr>
    <w:rPr>
      <w:rFonts w:eastAsia="黑体"/>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99"/>
    <w:rPr>
      <w:rFonts w:hAnsi="Times New Roman"/>
      <w:sz w:val="18"/>
      <w:szCs w:val="18"/>
    </w:rPr>
  </w:style>
  <w:style w:type="paragraph" w:styleId="5">
    <w:name w:val="annotation text"/>
    <w:basedOn w:val="1"/>
    <w:link w:val="19"/>
    <w:unhideWhenUsed/>
    <w:qFormat/>
    <w:uiPriority w:val="99"/>
  </w:style>
  <w:style w:type="paragraph" w:styleId="6">
    <w:name w:val="Body Text"/>
    <w:basedOn w:val="1"/>
    <w:qFormat/>
    <w:uiPriority w:val="1"/>
    <w:rPr>
      <w:sz w:val="32"/>
      <w:szCs w:val="32"/>
    </w:rPr>
  </w:style>
  <w:style w:type="paragraph" w:styleId="7">
    <w:name w:val="Balloon Text"/>
    <w:basedOn w:val="1"/>
    <w:link w:val="20"/>
    <w:unhideWhenUsed/>
    <w:qFormat/>
    <w:uiPriority w:val="99"/>
    <w:rPr>
      <w:rFonts w:ascii="Times New Roman" w:hAnsi="Times New Roman"/>
      <w:sz w:val="18"/>
      <w:szCs w:val="18"/>
    </w:rPr>
  </w:style>
  <w:style w:type="paragraph" w:styleId="8">
    <w:name w:val="footer"/>
    <w:basedOn w:val="1"/>
    <w:link w:val="21"/>
    <w:unhideWhenUsed/>
    <w:qFormat/>
    <w:uiPriority w:val="99"/>
    <w:pPr>
      <w:tabs>
        <w:tab w:val="center" w:pos="4153"/>
        <w:tab w:val="right" w:pos="8306"/>
      </w:tabs>
      <w:snapToGrid w:val="0"/>
    </w:pPr>
    <w:rPr>
      <w:rFonts w:ascii="Times New Roman" w:hAnsi="Times New Roman"/>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Normal (Web)"/>
    <w:basedOn w:val="1"/>
    <w:unhideWhenUsed/>
    <w:qFormat/>
    <w:uiPriority w:val="99"/>
    <w:pPr>
      <w:spacing w:before="100" w:beforeAutospacing="1" w:after="100" w:afterAutospacing="1"/>
    </w:pPr>
  </w:style>
  <w:style w:type="paragraph" w:styleId="11">
    <w:name w:val="annotation subject"/>
    <w:basedOn w:val="5"/>
    <w:next w:val="5"/>
    <w:link w:val="23"/>
    <w:unhideWhenUsed/>
    <w:qFormat/>
    <w:uiPriority w:val="99"/>
    <w:rPr>
      <w:rFonts w:ascii="Times New Roman" w:hAnsi="Times New Roman"/>
      <w:b/>
      <w:bCs/>
      <w:sz w:val="20"/>
      <w:szCs w:val="20"/>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qFormat/>
    <w:uiPriority w:val="9"/>
    <w:rPr>
      <w:rFonts w:ascii="Calibri" w:hAnsi="Calibri" w:eastAsia="黑体"/>
      <w:b/>
      <w:bCs/>
      <w:kern w:val="2"/>
      <w:sz w:val="28"/>
      <w:szCs w:val="32"/>
    </w:rPr>
  </w:style>
  <w:style w:type="character" w:customStyle="1" w:styleId="18">
    <w:name w:val="文档结构图 Char"/>
    <w:link w:val="4"/>
    <w:qFormat/>
    <w:uiPriority w:val="99"/>
    <w:rPr>
      <w:rFonts w:ascii="宋体" w:eastAsia="宋体"/>
      <w:sz w:val="18"/>
      <w:szCs w:val="18"/>
    </w:rPr>
  </w:style>
  <w:style w:type="character" w:customStyle="1" w:styleId="19">
    <w:name w:val="批注文字 Char"/>
    <w:link w:val="5"/>
    <w:semiHidden/>
    <w:qFormat/>
    <w:uiPriority w:val="99"/>
  </w:style>
  <w:style w:type="character" w:customStyle="1" w:styleId="20">
    <w:name w:val="批注框文本 Char"/>
    <w:link w:val="7"/>
    <w:semiHidden/>
    <w:qFormat/>
    <w:uiPriority w:val="99"/>
    <w:rPr>
      <w:sz w:val="18"/>
      <w:szCs w:val="18"/>
    </w:rPr>
  </w:style>
  <w:style w:type="character" w:customStyle="1" w:styleId="21">
    <w:name w:val="页脚 Char"/>
    <w:link w:val="8"/>
    <w:qFormat/>
    <w:uiPriority w:val="99"/>
    <w:rPr>
      <w:sz w:val="18"/>
      <w:szCs w:val="18"/>
    </w:rPr>
  </w:style>
  <w:style w:type="character" w:customStyle="1" w:styleId="22">
    <w:name w:val="页眉 Char"/>
    <w:link w:val="9"/>
    <w:qFormat/>
    <w:uiPriority w:val="99"/>
    <w:rPr>
      <w:sz w:val="18"/>
      <w:szCs w:val="18"/>
    </w:rPr>
  </w:style>
  <w:style w:type="character" w:customStyle="1" w:styleId="23">
    <w:name w:val="批注主题 Char"/>
    <w:link w:val="11"/>
    <w:semiHidden/>
    <w:qFormat/>
    <w:uiPriority w:val="99"/>
    <w:rPr>
      <w:b/>
      <w:bCs/>
    </w:rPr>
  </w:style>
  <w:style w:type="character" w:customStyle="1" w:styleId="24">
    <w:name w:val="批注文字 Char1"/>
    <w:semiHidden/>
    <w:qFormat/>
    <w:uiPriority w:val="99"/>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font41"/>
    <w:qFormat/>
    <w:uiPriority w:val="0"/>
    <w:rPr>
      <w:rFonts w:hint="eastAsia" w:ascii="宋体" w:hAnsi="宋体" w:eastAsia="宋体"/>
      <w:color w:val="000000"/>
      <w:sz w:val="22"/>
      <w:szCs w:val="22"/>
      <w:u w:val="none"/>
    </w:rPr>
  </w:style>
  <w:style w:type="character" w:customStyle="1" w:styleId="27">
    <w:name w:val="font01"/>
    <w:qFormat/>
    <w:uiPriority w:val="0"/>
    <w:rPr>
      <w:rFonts w:hint="eastAsia" w:ascii="宋体" w:hAnsi="宋体" w:eastAsia="宋体"/>
      <w:color w:val="FF0000"/>
      <w:sz w:val="22"/>
      <w:szCs w:val="22"/>
      <w:u w:val="none"/>
    </w:rPr>
  </w:style>
  <w:style w:type="paragraph" w:customStyle="1" w:styleId="28">
    <w:name w:val="列出段落1"/>
    <w:basedOn w:val="1"/>
    <w:qFormat/>
    <w:uiPriority w:val="34"/>
    <w:pPr>
      <w:ind w:firstLine="420" w:firstLineChars="200"/>
    </w:pPr>
  </w:style>
  <w:style w:type="paragraph" w:customStyle="1" w:styleId="29">
    <w:name w:val="列出段落2"/>
    <w:basedOn w:val="1"/>
    <w:unhideWhenUsed/>
    <w:qFormat/>
    <w:uiPriority w:val="99"/>
    <w:pPr>
      <w:ind w:firstLine="420" w:firstLineChars="200"/>
    </w:pPr>
  </w:style>
  <w:style w:type="paragraph" w:customStyle="1" w:styleId="30">
    <w:name w:val="005正文"/>
    <w:basedOn w:val="1"/>
    <w:link w:val="31"/>
    <w:qFormat/>
    <w:uiPriority w:val="0"/>
    <w:pPr>
      <w:spacing w:beforeLines="50" w:line="360" w:lineRule="auto"/>
      <w:ind w:firstLine="200" w:firstLineChars="200"/>
    </w:pPr>
    <w:rPr>
      <w:rFonts w:ascii="Times New Roman" w:hAnsi="Times New Roman"/>
      <w:szCs w:val="20"/>
    </w:rPr>
  </w:style>
  <w:style w:type="character" w:customStyle="1" w:styleId="31">
    <w:name w:val="005正文 Char"/>
    <w:link w:val="30"/>
    <w:qFormat/>
    <w:uiPriority w:val="0"/>
    <w:rPr>
      <w:rFonts w:ascii="Times New Roman" w:hAnsi="Times New Roman" w:eastAsia="宋体" w:cs="Times New Roman"/>
      <w:sz w:val="24"/>
    </w:rPr>
  </w:style>
  <w:style w:type="paragraph" w:customStyle="1" w:styleId="32">
    <w:name w:val="列出段落3"/>
    <w:basedOn w:val="1"/>
    <w:link w:val="33"/>
    <w:qFormat/>
    <w:uiPriority w:val="34"/>
    <w:pPr>
      <w:ind w:firstLine="420" w:firstLineChars="200"/>
    </w:pPr>
  </w:style>
  <w:style w:type="character" w:customStyle="1" w:styleId="33">
    <w:name w:val="列出段落 Char"/>
    <w:link w:val="32"/>
    <w:qFormat/>
    <w:uiPriority w:val="34"/>
  </w:style>
  <w:style w:type="paragraph" w:customStyle="1" w:styleId="34">
    <w:name w:val="修订1"/>
    <w:unhideWhenUsed/>
    <w:qFormat/>
    <w:uiPriority w:val="99"/>
    <w:rPr>
      <w:rFonts w:ascii="Calibri" w:hAnsi="Calibri" w:eastAsia="宋体" w:cs="Times New Roman"/>
      <w:kern w:val="2"/>
      <w:sz w:val="21"/>
      <w:szCs w:val="22"/>
      <w:lang w:val="en-US" w:eastAsia="zh-CN" w:bidi="ar-SA"/>
    </w:rPr>
  </w:style>
  <w:style w:type="paragraph" w:customStyle="1" w:styleId="35">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36">
    <w:name w:val="列表段落1"/>
    <w:basedOn w:val="1"/>
    <w:unhideWhenUsed/>
    <w:qFormat/>
    <w:uiPriority w:val="34"/>
    <w:pPr>
      <w:ind w:firstLine="420" w:firstLineChars="200"/>
    </w:pPr>
  </w:style>
  <w:style w:type="paragraph" w:customStyle="1" w:styleId="37">
    <w:name w:val="修订2"/>
    <w:semiHidden/>
    <w:qFormat/>
    <w:uiPriority w:val="99"/>
    <w:rPr>
      <w:rFonts w:ascii="Calibri" w:hAnsi="Calibri" w:eastAsia="宋体" w:cs="Times New Roman"/>
      <w:kern w:val="2"/>
      <w:sz w:val="21"/>
      <w:szCs w:val="22"/>
      <w:lang w:val="en-US" w:eastAsia="zh-CN" w:bidi="ar-SA"/>
    </w:rPr>
  </w:style>
  <w:style w:type="paragraph" w:customStyle="1" w:styleId="38">
    <w:name w:val="修订3"/>
    <w:unhideWhenUsed/>
    <w:qFormat/>
    <w:uiPriority w:val="99"/>
    <w:rPr>
      <w:rFonts w:ascii="Calibri" w:hAnsi="Calibri" w:eastAsia="宋体" w:cs="Times New Roman"/>
      <w:kern w:val="2"/>
      <w:sz w:val="21"/>
      <w:szCs w:val="22"/>
      <w:lang w:val="en-US" w:eastAsia="zh-CN" w:bidi="ar-SA"/>
    </w:rPr>
  </w:style>
  <w:style w:type="paragraph" w:customStyle="1" w:styleId="39">
    <w:name w:val="修订4"/>
    <w:unhideWhenUsed/>
    <w:qFormat/>
    <w:uiPriority w:val="99"/>
    <w:rPr>
      <w:rFonts w:ascii="Calibri" w:hAnsi="Calibri" w:eastAsia="宋体" w:cs="Times New Roman"/>
      <w:kern w:val="2"/>
      <w:sz w:val="21"/>
      <w:szCs w:val="22"/>
      <w:lang w:val="en-US" w:eastAsia="zh-CN" w:bidi="ar-SA"/>
    </w:rPr>
  </w:style>
  <w:style w:type="paragraph" w:customStyle="1" w:styleId="40">
    <w:name w:val="修订5"/>
    <w:unhideWhenUsed/>
    <w:qFormat/>
    <w:uiPriority w:val="99"/>
    <w:rPr>
      <w:rFonts w:ascii="Calibri" w:hAnsi="Calibri" w:eastAsia="宋体" w:cs="Times New Roman"/>
      <w:kern w:val="2"/>
      <w:sz w:val="21"/>
      <w:szCs w:val="22"/>
      <w:lang w:val="en-US" w:eastAsia="zh-CN" w:bidi="ar-SA"/>
    </w:rPr>
  </w:style>
  <w:style w:type="paragraph" w:customStyle="1" w:styleId="41">
    <w:name w:val="修订6"/>
    <w:semiHidden/>
    <w:qFormat/>
    <w:uiPriority w:val="99"/>
    <w:rPr>
      <w:rFonts w:ascii="Calibri" w:hAnsi="Calibri" w:eastAsia="宋体" w:cs="Times New Roman"/>
      <w:kern w:val="2"/>
      <w:sz w:val="21"/>
      <w:szCs w:val="22"/>
      <w:lang w:val="en-US" w:eastAsia="zh-CN" w:bidi="ar-SA"/>
    </w:rPr>
  </w:style>
  <w:style w:type="paragraph" w:customStyle="1" w:styleId="42">
    <w:name w:val="修订7"/>
    <w:semiHidden/>
    <w:qFormat/>
    <w:uiPriority w:val="99"/>
    <w:rPr>
      <w:rFonts w:ascii="Calibri" w:hAnsi="Calibri" w:eastAsia="宋体" w:cs="Times New Roman"/>
      <w:kern w:val="2"/>
      <w:sz w:val="21"/>
      <w:szCs w:val="22"/>
      <w:lang w:val="en-US" w:eastAsia="zh-CN" w:bidi="ar-SA"/>
    </w:rPr>
  </w:style>
  <w:style w:type="paragraph" w:customStyle="1" w:styleId="43">
    <w:name w:val="修订8"/>
    <w:unhideWhenUsed/>
    <w:qFormat/>
    <w:uiPriority w:val="99"/>
    <w:rPr>
      <w:rFonts w:ascii="Calibri" w:hAnsi="Calibri" w:eastAsia="宋体" w:cs="Times New Roman"/>
      <w:kern w:val="2"/>
      <w:sz w:val="21"/>
      <w:szCs w:val="22"/>
      <w:lang w:val="en-US" w:eastAsia="zh-CN" w:bidi="ar-SA"/>
    </w:rPr>
  </w:style>
  <w:style w:type="paragraph" w:customStyle="1" w:styleId="44">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qcao\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1714</Words>
  <Characters>1817</Characters>
  <Lines>83</Lines>
  <Paragraphs>23</Paragraphs>
  <TotalTime>2</TotalTime>
  <ScaleCrop>false</ScaleCrop>
  <LinksUpToDate>false</LinksUpToDate>
  <CharactersWithSpaces>1818</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2023-03-04T11:26:00Z</dcterms:created>
  <dc:creator>Admin</dc:creator>
  <cp:lastModifiedBy>xinhe</cp:lastModifiedBy>
  <cp:lastPrinted>2021-02-04T01:11:00Z</cp:lastPrinted>
  <dcterms:modified xsi:type="dcterms:W3CDTF">2025-05-15T07:27:44Z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4C871DBE91DBF3F7555A0B68E072E2E7_43</vt:lpwstr>
  </property>
</Properties>
</file>