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92C45">
      <w:pPr>
        <w:widowControl/>
        <w:spacing w:line="720" w:lineRule="exact"/>
        <w:jc w:val="left"/>
        <w:rPr>
          <w:rFonts w:ascii="仿宋_GB2312" w:hAnsi="仿宋_GB2312" w:eastAsia="仿宋_GB2312" w:cs="仿宋_GB2312"/>
          <w:color w:val="1515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sz w:val="32"/>
          <w:szCs w:val="32"/>
        </w:rPr>
        <w:t>附件</w:t>
      </w:r>
    </w:p>
    <w:p w14:paraId="77EA89F1">
      <w:pPr>
        <w:widowControl/>
        <w:spacing w:line="72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sz w:val="32"/>
          <w:szCs w:val="32"/>
        </w:rPr>
      </w:pPr>
    </w:p>
    <w:p w14:paraId="630C42E9">
      <w:pPr>
        <w:widowControl/>
        <w:spacing w:line="720" w:lineRule="exact"/>
        <w:jc w:val="center"/>
        <w:rPr>
          <w:rFonts w:ascii="黑体" w:hAnsi="黑体" w:eastAsia="黑体" w:cs="仿宋_GB2312"/>
          <w:color w:val="151515"/>
          <w:sz w:val="36"/>
          <w:szCs w:val="36"/>
        </w:rPr>
      </w:pPr>
      <w:bookmarkStart w:id="0" w:name="_GoBack"/>
      <w:r>
        <w:rPr>
          <w:rFonts w:hint="eastAsia" w:ascii="黑体" w:hAnsi="黑体" w:eastAsia="黑体" w:cs="仿宋_GB2312"/>
          <w:color w:val="151515"/>
          <w:sz w:val="36"/>
          <w:szCs w:val="36"/>
        </w:rPr>
        <w:t>2025年度新设立会计师事务所首单</w:t>
      </w:r>
    </w:p>
    <w:p w14:paraId="619A3AD1">
      <w:pPr>
        <w:widowControl/>
        <w:spacing w:line="720" w:lineRule="exact"/>
        <w:jc w:val="center"/>
        <w:rPr>
          <w:rFonts w:ascii="黑体" w:hAnsi="黑体" w:eastAsia="黑体" w:cs="仿宋_GB2312"/>
          <w:color w:val="151515"/>
          <w:sz w:val="36"/>
          <w:szCs w:val="36"/>
        </w:rPr>
      </w:pPr>
      <w:r>
        <w:rPr>
          <w:rFonts w:hint="eastAsia" w:ascii="黑体" w:hAnsi="黑体" w:eastAsia="黑体" w:cs="仿宋_GB2312"/>
          <w:color w:val="151515"/>
          <w:sz w:val="36"/>
          <w:szCs w:val="36"/>
        </w:rPr>
        <w:t>审计业务专项检查名单</w:t>
      </w:r>
    </w:p>
    <w:bookmarkEnd w:id="0"/>
    <w:p w14:paraId="347C9BB8">
      <w:pPr>
        <w:widowControl/>
        <w:spacing w:line="720" w:lineRule="exact"/>
        <w:ind w:firstLine="640" w:firstLineChars="200"/>
        <w:jc w:val="center"/>
        <w:rPr>
          <w:rFonts w:ascii="仿宋_GB2312" w:hAnsi="仿宋_GB2312" w:eastAsia="仿宋_GB2312" w:cs="仿宋_GB2312"/>
          <w:color w:val="151515"/>
          <w:sz w:val="32"/>
          <w:szCs w:val="32"/>
        </w:rPr>
      </w:pPr>
    </w:p>
    <w:tbl>
      <w:tblPr>
        <w:tblStyle w:val="2"/>
        <w:tblW w:w="782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5780"/>
      </w:tblGrid>
      <w:tr w14:paraId="673A3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DC22E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1</w:t>
            </w:r>
          </w:p>
        </w:tc>
        <w:tc>
          <w:tcPr>
            <w:tcW w:w="5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CB92CF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天津鑫捷会计师事务所有限责任公司</w:t>
            </w:r>
          </w:p>
        </w:tc>
      </w:tr>
      <w:tr w14:paraId="55223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BE530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6ACFA8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天津翰鼎会计师事务所（普通合伙）</w:t>
            </w:r>
          </w:p>
        </w:tc>
      </w:tr>
      <w:tr w14:paraId="58F3D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1960C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517D7E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天津正洁会计师事务所有限责任公司</w:t>
            </w:r>
          </w:p>
        </w:tc>
      </w:tr>
      <w:tr w14:paraId="777A6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9118D7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1144B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天津铭创会计师事务所（普通合伙）</w:t>
            </w:r>
          </w:p>
        </w:tc>
      </w:tr>
      <w:tr w14:paraId="77E54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A8B9A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2F611A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天津兰泰佳和会计师事务所（普通合伙）</w:t>
            </w:r>
          </w:p>
        </w:tc>
      </w:tr>
      <w:tr w14:paraId="4F585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774CA8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746D3D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天津中纬智拓会计师事务所（普通合伙）</w:t>
            </w:r>
          </w:p>
        </w:tc>
      </w:tr>
      <w:tr w14:paraId="27047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6EAA9B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25D948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天津泰汇会计师事务所（普通合伙）</w:t>
            </w:r>
          </w:p>
        </w:tc>
      </w:tr>
      <w:tr w14:paraId="6E973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B2E419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58ED0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天津瑞盛泽会计师事务所（普通合伙）</w:t>
            </w:r>
          </w:p>
        </w:tc>
      </w:tr>
      <w:tr w14:paraId="2C8B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5A43B6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007BE6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天津万弘会计师事务所（普通合伙）</w:t>
            </w:r>
          </w:p>
        </w:tc>
      </w:tr>
      <w:tr w14:paraId="761DA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120094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D1BA0">
            <w:pPr>
              <w:widowControl/>
              <w:jc w:val="center"/>
              <w:rPr>
                <w:rFonts w:ascii="Calibri" w:hAnsi="Calibri" w:eastAsia="宋体" w:cs="Calibri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</w:rPr>
              <w:t>北京厚德会计师事务所(特殊普通合伙)天津分所</w:t>
            </w:r>
          </w:p>
        </w:tc>
      </w:tr>
    </w:tbl>
    <w:p w14:paraId="17CE90D5">
      <w:pPr>
        <w:widowControl/>
        <w:spacing w:line="72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sz w:val="32"/>
          <w:szCs w:val="32"/>
        </w:rPr>
      </w:pPr>
    </w:p>
    <w:p w14:paraId="77A4C9E8">
      <w:pPr>
        <w:widowControl/>
        <w:spacing w:line="72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sz w:val="32"/>
          <w:szCs w:val="32"/>
        </w:rPr>
      </w:pPr>
    </w:p>
    <w:p w14:paraId="66A370DE">
      <w:pPr>
        <w:widowControl/>
        <w:spacing w:line="72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sz w:val="32"/>
          <w:szCs w:val="32"/>
        </w:rPr>
      </w:pPr>
    </w:p>
    <w:p w14:paraId="6F448926">
      <w:pPr>
        <w:widowControl/>
        <w:spacing w:line="720" w:lineRule="exact"/>
        <w:jc w:val="left"/>
        <w:rPr>
          <w:rFonts w:ascii="仿宋_GB2312" w:hAnsi="仿宋_GB2312" w:eastAsia="仿宋_GB2312" w:cs="仿宋_GB2312"/>
          <w:color w:val="151515"/>
          <w:sz w:val="32"/>
          <w:szCs w:val="32"/>
        </w:rPr>
      </w:pPr>
    </w:p>
    <w:p w14:paraId="455C2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D5BD8"/>
    <w:rsid w:val="089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2025-03-21T03:27:00Z</dcterms:created>
  <dc:creator>          ↗</dc:creator>
  <cp:lastModifiedBy>          ↗</cp:lastModifiedBy>
  <dcterms:modified xsi:type="dcterms:W3CDTF">2025-03-21T03:27:37Z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27C43EEB71194599A1672C8DBF534D85_11</vt:lpwstr>
  </property>
  <property fmtid="{D5CDD505-2E9C-101B-9397-08002B2CF9AE}" pid="4" name="KSOTemplateDocerSaveRecord">
    <vt:lpwstr>eyJoZGlkIjoiNjAxZmM4NTE0N2JhMWE1NzMwNGYxYmRlMDc1YWY5OTciLCJ1c2VySWQiOiIyMjk2MTgzOTMifQ==</vt:lpwstr>
  </property>
</Properties>
</file>