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F9ED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北京市湿地恢复费缴纳和使用管理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实施细则</w:t>
      </w:r>
    </w:p>
    <w:p w14:paraId="3FE1F6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F66391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湿地恢复费缴纳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管理，根据《财政部 国家林草局关于印发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湿地恢复费缴纳和使用管理暂行办法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的通知》（财税〔2024〕15号），结合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实际，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特制定本实施细则。</w:t>
      </w:r>
    </w:p>
    <w:p w14:paraId="572274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一、除因防洪、航道、港口或者其他水工程占用河</w:t>
      </w:r>
      <w:r>
        <w:rPr>
          <w:rFonts w:hint="eastAsia"/>
          <w:sz w:val="32"/>
          <w:szCs w:val="32"/>
          <w:highlight w:val="none"/>
          <w:lang w:eastAsia="zh-CN"/>
        </w:rPr>
        <w:t>道</w:t>
      </w:r>
      <w:r>
        <w:rPr>
          <w:rFonts w:hint="eastAsia"/>
          <w:sz w:val="32"/>
          <w:szCs w:val="32"/>
          <w:highlight w:val="none"/>
        </w:rPr>
        <w:t>管理范围及蓄滞洪区内的湿地外，在</w:t>
      </w:r>
      <w:r>
        <w:rPr>
          <w:rFonts w:hint="eastAsia"/>
          <w:sz w:val="32"/>
          <w:szCs w:val="32"/>
          <w:highlight w:val="none"/>
          <w:lang w:eastAsia="zh-CN"/>
        </w:rPr>
        <w:t>本市</w:t>
      </w:r>
      <w:r>
        <w:rPr>
          <w:rFonts w:hint="eastAsia"/>
          <w:sz w:val="32"/>
          <w:szCs w:val="32"/>
          <w:highlight w:val="none"/>
        </w:rPr>
        <w:t>范围内经依法批准占用重要湿地（含国际重要湿地、国家重要湿地和</w:t>
      </w:r>
      <w:r>
        <w:rPr>
          <w:rFonts w:hint="eastAsia"/>
          <w:sz w:val="32"/>
          <w:szCs w:val="32"/>
          <w:highlight w:val="none"/>
          <w:lang w:eastAsia="zh-CN"/>
        </w:rPr>
        <w:t>市</w:t>
      </w:r>
      <w:r>
        <w:rPr>
          <w:rFonts w:hint="eastAsia"/>
          <w:sz w:val="32"/>
          <w:szCs w:val="32"/>
          <w:highlight w:val="none"/>
        </w:rPr>
        <w:t>级重要湿地，下同），且没有条件恢复、重建的，占用单位应当按照规定缴纳湿地恢复费。</w:t>
      </w:r>
    </w:p>
    <w:p w14:paraId="55145E7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二、</w:t>
      </w:r>
      <w:r>
        <w:rPr>
          <w:rFonts w:hint="eastAsia"/>
          <w:sz w:val="32"/>
          <w:szCs w:val="32"/>
          <w:highlight w:val="none"/>
          <w:lang w:eastAsia="zh-CN"/>
        </w:rPr>
        <w:t>本市</w:t>
      </w:r>
      <w:r>
        <w:rPr>
          <w:rFonts w:hint="eastAsia"/>
          <w:sz w:val="32"/>
          <w:szCs w:val="32"/>
          <w:highlight w:val="none"/>
        </w:rPr>
        <w:t>湿地恢复费由</w:t>
      </w:r>
      <w:r>
        <w:rPr>
          <w:rFonts w:hint="eastAsia"/>
          <w:sz w:val="32"/>
          <w:szCs w:val="32"/>
          <w:highlight w:val="none"/>
          <w:lang w:eastAsia="zh-CN"/>
        </w:rPr>
        <w:t>市园林绿化局</w:t>
      </w:r>
      <w:r>
        <w:rPr>
          <w:rFonts w:hint="eastAsia"/>
          <w:sz w:val="32"/>
          <w:szCs w:val="32"/>
          <w:highlight w:val="none"/>
        </w:rPr>
        <w:t>负责征收。</w:t>
      </w:r>
    </w:p>
    <w:p w14:paraId="26911DE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湿地恢复费缴纳标准为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占用重要湿地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的，按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每平方米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征收；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  <w:t>占用重要湿地中的泥炭沼泽湿地的，按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照前述缴纳标准的3倍执行。</w:t>
      </w:r>
    </w:p>
    <w:p w14:paraId="2E306B5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四、对于占用重要湿地事项，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由占用单位征求市园林绿化局的意见，市园林绿化局向占用单位反馈是否同意占用湿地的意见，并将此意见同时抄送市规划自然资源委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。在规划审批阶段，市规划自然资源委在向占用单位印发“‘多规合一’协同平台初审意见函”时，将此函同时抄送市园林绿化局。市园林绿化局收到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初审意见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函后，按照有关程序核算湿地恢复费征收额，并向占用单位开具湿地恢复费缴纳通知单。缴纳通知单应当载明占用重要湿地面积、类型、缴纳标准、缴纳金额、缴纳方式、缴纳地点等事项。</w:t>
      </w:r>
    </w:p>
    <w:p w14:paraId="6ADC385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占用单位应在收到湿地恢复费缴纳通知单的10个工作日内一次性缴纳湿地恢复费。</w:t>
      </w:r>
    </w:p>
    <w:p w14:paraId="1B7489E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五、因建设湿地保护和修复工程设施，湿地管理单位占用所辖湿地免征湿地恢复费。法律、行政法规或国务院规定减征、免征、缓征湿地恢复费的，从其规定。</w:t>
      </w:r>
    </w:p>
    <w:p w14:paraId="2A0B228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本市征收湿地恢复费使用由市财政局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统一监（印）制的非税收入类电子票据。</w:t>
      </w:r>
    </w:p>
    <w:p w14:paraId="60E878D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湿地恢复费收入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列入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政府收支分类科目“1030226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湿地恢复费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</w:p>
    <w:p w14:paraId="04E7E1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湿地恢复费实行国库集中收缴方式，</w:t>
      </w:r>
      <w:r>
        <w:rPr>
          <w:rFonts w:hint="eastAsia" w:hAnsi="Times New Roman" w:cs="Times New Roman"/>
          <w:sz w:val="32"/>
          <w:szCs w:val="32"/>
          <w:highlight w:val="none"/>
          <w:lang w:val="en-US" w:eastAsia="zh-CN"/>
        </w:rPr>
        <w:t>具体缴库办法按照财政部和本市非税收入收缴管理有关规定执行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8F4D3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占用重要湿地项目未实施且未导致湿地面积减少或者质量下降，以及错收、错缴等其他事项需要退付湿地恢复费的，占用单位向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市园林绿化局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提出退付申请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；市园林绿化局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审核后，按规定向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申请办理湿地恢复费退付手续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；市财政局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收到退付申请后，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按照我市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非税收入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退付相关规定，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及时办理收入退付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手续。</w:t>
      </w:r>
    </w:p>
    <w:p w14:paraId="27FE7D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十、湿地恢复费全额缴入市级国库，并列入市级一般公共预算管理统筹安排使用。</w:t>
      </w:r>
    </w:p>
    <w:p w14:paraId="351094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十一、湿地恢复费实行收入和支出分离制度，任何部门、单位和个人不得隐瞒、滞留、截留、挪用或者坐支。</w:t>
      </w:r>
    </w:p>
    <w:p w14:paraId="044EC0BF">
      <w:pPr>
        <w:shd w:val="clear" w:color="auto" w:fill="auto"/>
        <w:spacing w:line="600" w:lineRule="exact"/>
        <w:jc w:val="both"/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十二、本细则实施期限与</w:t>
      </w:r>
      <w:r>
        <w:rPr>
          <w:rFonts w:hint="eastAsia" w:ascii="仿宋_GB2312" w:hAnsi="仿宋_GB2312" w:eastAsia="仿宋_GB2312" w:cs="仿宋_GB2312"/>
        </w:rPr>
        <w:t>《财政部 国家林草局关于印发〈湿地恢复费缴纳和使用管理暂行办法〉的通知》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财税〔2024〕15号）一致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32602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61CD"/>
    <w:rsid w:val="7CD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2025-02-12T06:49:00Z</dcterms:created>
  <dc:creator>admin</dc:creator>
  <cp:lastModifiedBy>admin</cp:lastModifiedBy>
  <dcterms:modified xsi:type="dcterms:W3CDTF">2025-02-12T06:49:31Z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4C13BD537C354E40904B0947A0AB8375_11</vt:lpwstr>
  </property>
  <property fmtid="{D5CDD505-2E9C-101B-9397-08002B2CF9AE}" pid="4" name="KSOTemplateDocerSaveRecord">
    <vt:lpwstr>eyJoZGlkIjoiZTc0ODM5Nzk4NzMzNDc0ODc1Yjg2ODNjNDM3MDczZjMifQ==</vt:lpwstr>
  </property>
</Properties>
</file>