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8940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ajorEastAsia" w:hAnsiTheme="majorEastAsia" w:eastAsiaTheme="majorEastAsia"/>
          <w:b/>
          <w:sz w:val="36"/>
          <w:szCs w:val="36"/>
        </w:rPr>
      </w:pPr>
      <w:r>
        <w:rPr>
          <w:rFonts w:hint="eastAsia" w:ascii="方正大标宋简体" w:hAnsi="方正大标宋简体" w:eastAsia="方正大标宋简体"/>
          <w:color w:val="FF0000"/>
          <w:sz w:val="84"/>
          <w:szCs w:val="84"/>
        </w:rPr>
        <w:t>山东省注册会计师协会</w:t>
      </w:r>
    </w:p>
    <w:p w14:paraId="1FD7E471">
      <w:pPr>
        <w:adjustRightInd w:val="0"/>
        <w:snapToGrid w:val="0"/>
        <w:spacing w:line="520" w:lineRule="exact"/>
        <w:ind w:firstLine="2530" w:firstLineChars="700"/>
        <w:rPr>
          <w:rFonts w:asciiTheme="majorEastAsia" w:hAnsiTheme="majorEastAsia" w:eastAsiaTheme="majorEastAsia"/>
          <w:b/>
          <w:sz w:val="36"/>
          <w:szCs w:val="36"/>
        </w:rPr>
      </w:pPr>
    </w:p>
    <w:p w14:paraId="7BE5524D">
      <w:pPr>
        <w:jc w:val="right"/>
        <w:rPr>
          <w:rFonts w:ascii="方正大标宋简体" w:eastAsia="方正大标宋简体"/>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）鲁会协专1号</w:t>
      </w:r>
    </w:p>
    <w:p w14:paraId="265A82C4">
      <w:pPr>
        <w:numPr>
          <w:ilvl w:val="0"/>
          <w:numId w:val="0"/>
        </w:numPr>
        <w:adjustRightInd w:val="0"/>
        <w:snapToGrid w:val="0"/>
        <w:spacing w:line="600" w:lineRule="exact"/>
        <w:jc w:val="both"/>
        <w:rPr>
          <w:rFonts w:hint="eastAsia" w:ascii="仿宋_GB2312" w:eastAsia="仿宋_GB2312" w:hAnsiTheme="majorEastAsia"/>
          <w:sz w:val="32"/>
          <w:szCs w:val="32"/>
        </w:rPr>
      </w:pPr>
      <w:bookmarkStart w:id="9" w:name="_GoBack"/>
      <w:bookmarkEnd w:id="9"/>
    </w:p>
    <w:p w14:paraId="78B03632">
      <w:pPr>
        <w:pStyle w:val="23"/>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大标宋简体" w:eastAsia="方正大标宋简体"/>
          <w:sz w:val="44"/>
          <w:szCs w:val="44"/>
        </w:rPr>
      </w:pPr>
      <w:r>
        <w:rPr>
          <w:rFonts w:hint="eastAsia" w:ascii="方正大标宋简体" w:eastAsia="方正大标宋简体"/>
          <w:sz w:val="44"/>
          <w:szCs w:val="44"/>
        </w:rPr>
        <w:t>2024年会计师事务所执业质量检查</w:t>
      </w:r>
    </w:p>
    <w:p w14:paraId="6200E84C">
      <w:pPr>
        <w:pStyle w:val="23"/>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大标宋简体" w:eastAsia="方正大标宋简体"/>
          <w:sz w:val="44"/>
          <w:szCs w:val="44"/>
        </w:rPr>
      </w:pPr>
      <w:r>
        <w:rPr>
          <w:rFonts w:hint="eastAsia" w:ascii="方正大标宋简体" w:eastAsia="方正大标宋简体"/>
          <w:sz w:val="44"/>
          <w:szCs w:val="44"/>
        </w:rPr>
        <w:t>发现主要问题的专业技术指导意见</w:t>
      </w:r>
    </w:p>
    <w:p w14:paraId="13FD2C9C">
      <w:pPr>
        <w:spacing w:line="360" w:lineRule="auto"/>
        <w:rPr>
          <w:rFonts w:hint="eastAsia" w:ascii="仿宋_GB2312" w:hAnsi="仿宋" w:eastAsia="仿宋_GB2312" w:cs="仿宋"/>
          <w:bCs/>
          <w:sz w:val="32"/>
          <w:szCs w:val="32"/>
          <w:lang w:bidi="ar"/>
        </w:rPr>
      </w:pPr>
    </w:p>
    <w:p w14:paraId="4CF544E1">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 w:eastAsia="仿宋_GB2312" w:cs="仿宋"/>
          <w:bCs/>
          <w:sz w:val="32"/>
          <w:szCs w:val="32"/>
          <w:lang w:bidi="ar"/>
        </w:rPr>
      </w:pPr>
      <w:r>
        <w:rPr>
          <w:rFonts w:hint="eastAsia" w:ascii="仿宋_GB2312" w:hAnsi="仿宋" w:eastAsia="仿宋_GB2312" w:cs="仿宋"/>
          <w:bCs/>
          <w:sz w:val="32"/>
          <w:szCs w:val="32"/>
          <w:lang w:bidi="ar"/>
        </w:rPr>
        <w:t>各会计师事务所：</w:t>
      </w:r>
    </w:p>
    <w:p w14:paraId="078E9E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hint="eastAsia" w:ascii="仿宋_GB2312" w:hAnsi="仿宋" w:eastAsia="仿宋_GB2312" w:cs="仿宋"/>
          <w:bCs/>
          <w:sz w:val="32"/>
          <w:szCs w:val="32"/>
          <w:lang w:bidi="ar"/>
        </w:rPr>
        <w:t>为</w:t>
      </w:r>
      <w:r>
        <w:rPr>
          <w:rFonts w:ascii="仿宋_GB2312" w:hAnsi="仿宋" w:eastAsia="仿宋_GB2312" w:cs="仿宋"/>
          <w:bCs/>
          <w:sz w:val="32"/>
          <w:szCs w:val="32"/>
          <w:lang w:bidi="ar"/>
        </w:rPr>
        <w:t>更好</w:t>
      </w:r>
      <w:r>
        <w:rPr>
          <w:rFonts w:hint="eastAsia" w:ascii="仿宋_GB2312" w:hAnsi="仿宋" w:eastAsia="仿宋_GB2312" w:cs="仿宋"/>
          <w:bCs/>
          <w:sz w:val="32"/>
          <w:szCs w:val="32"/>
          <w:lang w:bidi="ar"/>
        </w:rPr>
        <w:t>地</w:t>
      </w:r>
      <w:r>
        <w:rPr>
          <w:rFonts w:ascii="仿宋_GB2312" w:hAnsi="仿宋" w:eastAsia="仿宋_GB2312" w:cs="仿宋"/>
          <w:bCs/>
          <w:sz w:val="32"/>
          <w:szCs w:val="32"/>
          <w:lang w:bidi="ar"/>
        </w:rPr>
        <w:t>指导和规范</w:t>
      </w:r>
      <w:r>
        <w:rPr>
          <w:rFonts w:hint="eastAsia" w:ascii="仿宋_GB2312" w:hAnsi="仿宋" w:eastAsia="仿宋_GB2312" w:cs="仿宋"/>
          <w:bCs/>
          <w:sz w:val="32"/>
          <w:szCs w:val="32"/>
          <w:lang w:bidi="ar"/>
        </w:rPr>
        <w:t>全省</w:t>
      </w:r>
      <w:r>
        <w:rPr>
          <w:rFonts w:ascii="仿宋_GB2312" w:hAnsi="仿宋" w:eastAsia="仿宋_GB2312" w:cs="仿宋"/>
          <w:bCs/>
          <w:sz w:val="32"/>
          <w:szCs w:val="32"/>
          <w:lang w:bidi="ar"/>
        </w:rPr>
        <w:t>注册会计师及</w:t>
      </w:r>
      <w:r>
        <w:rPr>
          <w:rFonts w:hint="eastAsia" w:ascii="仿宋_GB2312" w:hAnsi="仿宋" w:eastAsia="仿宋_GB2312" w:cs="仿宋"/>
          <w:bCs/>
          <w:sz w:val="32"/>
          <w:szCs w:val="32"/>
          <w:lang w:bidi="ar"/>
        </w:rPr>
        <w:t>相关</w:t>
      </w:r>
      <w:r>
        <w:rPr>
          <w:rFonts w:ascii="仿宋_GB2312" w:hAnsi="仿宋" w:eastAsia="仿宋_GB2312" w:cs="仿宋"/>
          <w:bCs/>
          <w:sz w:val="32"/>
          <w:szCs w:val="32"/>
          <w:lang w:bidi="ar"/>
        </w:rPr>
        <w:t>从业人员的审计鉴证工作，</w:t>
      </w:r>
      <w:r>
        <w:rPr>
          <w:rFonts w:hint="eastAsia" w:ascii="仿宋_GB2312" w:hAnsi="仿宋" w:eastAsia="仿宋_GB2312" w:cs="仿宋"/>
          <w:bCs/>
          <w:sz w:val="32"/>
          <w:szCs w:val="32"/>
          <w:lang w:bidi="ar"/>
        </w:rPr>
        <w:t>提升</w:t>
      </w:r>
      <w:r>
        <w:rPr>
          <w:rFonts w:ascii="仿宋_GB2312" w:hAnsi="仿宋" w:eastAsia="仿宋_GB2312" w:cs="仿宋"/>
          <w:bCs/>
          <w:sz w:val="32"/>
          <w:szCs w:val="32"/>
          <w:lang w:bidi="ar"/>
        </w:rPr>
        <w:t>会计师事务所整体</w:t>
      </w:r>
      <w:r>
        <w:rPr>
          <w:rFonts w:hint="eastAsia" w:ascii="仿宋_GB2312" w:hAnsi="仿宋" w:eastAsia="仿宋_GB2312" w:cs="仿宋"/>
          <w:bCs/>
          <w:sz w:val="32"/>
          <w:szCs w:val="32"/>
          <w:lang w:bidi="ar"/>
        </w:rPr>
        <w:t>执业</w:t>
      </w:r>
      <w:r>
        <w:rPr>
          <w:rFonts w:ascii="仿宋_GB2312" w:hAnsi="仿宋" w:eastAsia="仿宋_GB2312" w:cs="仿宋"/>
          <w:bCs/>
          <w:sz w:val="32"/>
          <w:szCs w:val="32"/>
          <w:lang w:bidi="ar"/>
        </w:rPr>
        <w:t>质量，</w:t>
      </w:r>
      <w:r>
        <w:rPr>
          <w:rFonts w:hint="eastAsia" w:ascii="仿宋_GB2312" w:hAnsi="仿宋" w:eastAsia="仿宋_GB2312" w:cs="仿宋"/>
          <w:bCs/>
          <w:sz w:val="32"/>
          <w:szCs w:val="32"/>
          <w:lang w:bidi="ar"/>
        </w:rPr>
        <w:t>山东省注册会计师协会组织专家针对</w:t>
      </w:r>
      <w:r>
        <w:rPr>
          <w:rFonts w:ascii="仿宋_GB2312" w:hAnsi="仿宋" w:eastAsia="仿宋_GB2312" w:cs="仿宋"/>
          <w:bCs/>
          <w:sz w:val="32"/>
          <w:szCs w:val="32"/>
          <w:lang w:bidi="ar"/>
        </w:rPr>
        <w:t>2024年会计师事务所执业质量检查工作过程中</w:t>
      </w:r>
      <w:r>
        <w:rPr>
          <w:rFonts w:hint="eastAsia" w:ascii="仿宋_GB2312" w:hAnsi="仿宋" w:eastAsia="仿宋_GB2312" w:cs="仿宋"/>
          <w:bCs/>
          <w:sz w:val="32"/>
          <w:szCs w:val="32"/>
          <w:lang w:bidi="ar"/>
        </w:rPr>
        <w:t>发现的主要问题进行了梳理和研究，编写了关于质量</w:t>
      </w:r>
      <w:r>
        <w:rPr>
          <w:rFonts w:ascii="仿宋_GB2312" w:hAnsi="仿宋" w:eastAsia="仿宋_GB2312" w:cs="仿宋"/>
          <w:bCs/>
          <w:sz w:val="32"/>
          <w:szCs w:val="32"/>
          <w:lang w:bidi="ar"/>
        </w:rPr>
        <w:t>管理制度制定及执行、财务报表审计业务和合理保证鉴证业务报告披露及程序执行</w:t>
      </w:r>
      <w:r>
        <w:rPr>
          <w:rFonts w:hint="eastAsia" w:ascii="仿宋_GB2312" w:hAnsi="仿宋" w:eastAsia="仿宋_GB2312" w:cs="仿宋"/>
          <w:bCs/>
          <w:sz w:val="32"/>
          <w:szCs w:val="32"/>
          <w:lang w:bidi="ar"/>
        </w:rPr>
        <w:t>等方面</w:t>
      </w:r>
      <w:r>
        <w:rPr>
          <w:rFonts w:ascii="仿宋_GB2312" w:hAnsi="仿宋" w:eastAsia="仿宋_GB2312" w:cs="仿宋"/>
          <w:bCs/>
          <w:sz w:val="32"/>
          <w:szCs w:val="32"/>
          <w:lang w:bidi="ar"/>
        </w:rPr>
        <w:t>的</w:t>
      </w:r>
      <w:r>
        <w:rPr>
          <w:rFonts w:hint="eastAsia" w:ascii="仿宋_GB2312" w:hAnsi="仿宋" w:eastAsia="仿宋_GB2312" w:cs="仿宋"/>
          <w:bCs/>
          <w:sz w:val="32"/>
          <w:szCs w:val="32"/>
          <w:lang w:bidi="ar"/>
        </w:rPr>
        <w:t>系列问题指导意见，并经省注协</w:t>
      </w:r>
      <w:r>
        <w:rPr>
          <w:rFonts w:ascii="仿宋_GB2312" w:hAnsi="仿宋" w:eastAsia="仿宋_GB2312" w:cs="仿宋"/>
          <w:bCs/>
          <w:sz w:val="32"/>
          <w:szCs w:val="32"/>
          <w:lang w:bidi="ar"/>
        </w:rPr>
        <w:t>专业技术指导委员会审议通过，</w:t>
      </w:r>
      <w:r>
        <w:rPr>
          <w:rFonts w:hint="eastAsia" w:ascii="仿宋_GB2312" w:hAnsi="仿宋" w:eastAsia="仿宋_GB2312" w:cs="仿宋"/>
          <w:bCs/>
          <w:sz w:val="32"/>
          <w:szCs w:val="32"/>
          <w:lang w:bidi="ar"/>
        </w:rPr>
        <w:t>现予以公布，供大家在执业中参考。</w:t>
      </w:r>
    </w:p>
    <w:p w14:paraId="264A19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hint="eastAsia" w:ascii="仿宋_GB2312" w:hAnsi="仿宋" w:eastAsia="仿宋_GB2312" w:cs="仿宋"/>
          <w:bCs/>
          <w:sz w:val="32"/>
          <w:szCs w:val="32"/>
          <w:lang w:bidi="ar"/>
        </w:rPr>
        <w:t>本</w:t>
      </w:r>
      <w:r>
        <w:rPr>
          <w:rFonts w:ascii="仿宋_GB2312" w:hAnsi="仿宋" w:eastAsia="仿宋_GB2312" w:cs="仿宋"/>
          <w:bCs/>
          <w:sz w:val="32"/>
          <w:szCs w:val="32"/>
          <w:lang w:bidi="ar"/>
        </w:rPr>
        <w:t>指导意见</w:t>
      </w:r>
      <w:r>
        <w:rPr>
          <w:rFonts w:hint="eastAsia" w:ascii="仿宋_GB2312" w:hAnsi="仿宋" w:eastAsia="仿宋_GB2312" w:cs="仿宋"/>
          <w:bCs/>
          <w:sz w:val="32"/>
          <w:szCs w:val="32"/>
          <w:lang w:bidi="ar"/>
        </w:rPr>
        <w:t>仅代表有关专家观点，不具有强制性，</w:t>
      </w:r>
      <w:r>
        <w:rPr>
          <w:rFonts w:ascii="仿宋_GB2312" w:hAnsi="仿宋" w:eastAsia="仿宋_GB2312" w:cs="仿宋"/>
          <w:bCs/>
          <w:sz w:val="32"/>
          <w:szCs w:val="32"/>
          <w:lang w:bidi="ar"/>
        </w:rPr>
        <w:t>如与有关</w:t>
      </w:r>
      <w:r>
        <w:rPr>
          <w:rFonts w:hint="eastAsia" w:ascii="仿宋_GB2312" w:hAnsi="仿宋" w:eastAsia="仿宋_GB2312" w:cs="仿宋"/>
          <w:bCs/>
          <w:sz w:val="32"/>
          <w:szCs w:val="32"/>
          <w:lang w:bidi="ar"/>
        </w:rPr>
        <w:t>法律</w:t>
      </w:r>
      <w:r>
        <w:rPr>
          <w:rFonts w:ascii="仿宋_GB2312" w:hAnsi="仿宋" w:eastAsia="仿宋_GB2312" w:cs="仿宋"/>
          <w:bCs/>
          <w:sz w:val="32"/>
          <w:szCs w:val="32"/>
          <w:lang w:bidi="ar"/>
        </w:rPr>
        <w:t>法规、执业准则</w:t>
      </w:r>
      <w:r>
        <w:rPr>
          <w:rFonts w:hint="eastAsia" w:ascii="仿宋_GB2312" w:hAnsi="仿宋" w:eastAsia="仿宋_GB2312" w:cs="仿宋"/>
          <w:bCs/>
          <w:sz w:val="32"/>
          <w:szCs w:val="32"/>
          <w:lang w:bidi="ar"/>
        </w:rPr>
        <w:t>及应用</w:t>
      </w:r>
      <w:r>
        <w:rPr>
          <w:rFonts w:ascii="仿宋_GB2312" w:hAnsi="仿宋" w:eastAsia="仿宋_GB2312" w:cs="仿宋"/>
          <w:bCs/>
          <w:sz w:val="32"/>
          <w:szCs w:val="32"/>
          <w:lang w:bidi="ar"/>
        </w:rPr>
        <w:t>指南、</w:t>
      </w:r>
      <w:r>
        <w:rPr>
          <w:rFonts w:hint="eastAsia" w:ascii="仿宋_GB2312" w:hAnsi="仿宋" w:eastAsia="仿宋_GB2312" w:cs="仿宋"/>
          <w:bCs/>
          <w:sz w:val="32"/>
          <w:szCs w:val="32"/>
          <w:lang w:bidi="ar"/>
        </w:rPr>
        <w:t>问题解答</w:t>
      </w:r>
      <w:r>
        <w:rPr>
          <w:rFonts w:ascii="仿宋_GB2312" w:hAnsi="仿宋" w:eastAsia="仿宋_GB2312" w:cs="仿宋"/>
          <w:bCs/>
          <w:sz w:val="32"/>
          <w:szCs w:val="32"/>
          <w:lang w:bidi="ar"/>
        </w:rPr>
        <w:t>等有关规定不一致，</w:t>
      </w:r>
      <w:r>
        <w:rPr>
          <w:rFonts w:hint="eastAsia" w:ascii="仿宋_GB2312" w:hAnsi="仿宋" w:eastAsia="仿宋_GB2312" w:cs="仿宋"/>
          <w:bCs/>
          <w:sz w:val="32"/>
          <w:szCs w:val="32"/>
          <w:lang w:bidi="ar"/>
        </w:rPr>
        <w:t>以其</w:t>
      </w:r>
      <w:r>
        <w:rPr>
          <w:rFonts w:ascii="仿宋_GB2312" w:hAnsi="仿宋" w:eastAsia="仿宋_GB2312" w:cs="仿宋"/>
          <w:bCs/>
          <w:sz w:val="32"/>
          <w:szCs w:val="32"/>
          <w:lang w:bidi="ar"/>
        </w:rPr>
        <w:t>规定为准</w:t>
      </w:r>
      <w:r>
        <w:rPr>
          <w:rFonts w:hint="eastAsia" w:ascii="仿宋_GB2312" w:hAnsi="仿宋" w:eastAsia="仿宋_GB2312" w:cs="仿宋"/>
          <w:bCs/>
          <w:sz w:val="32"/>
          <w:szCs w:val="32"/>
          <w:lang w:bidi="ar"/>
        </w:rPr>
        <w:t>。实务中</w:t>
      </w:r>
      <w:r>
        <w:rPr>
          <w:rFonts w:ascii="仿宋_GB2312" w:hAnsi="仿宋" w:eastAsia="仿宋_GB2312" w:cs="仿宋"/>
          <w:bCs/>
          <w:sz w:val="32"/>
          <w:szCs w:val="32"/>
          <w:lang w:bidi="ar"/>
        </w:rPr>
        <w:t>，注册会计师</w:t>
      </w:r>
      <w:r>
        <w:rPr>
          <w:rFonts w:hint="eastAsia" w:ascii="仿宋_GB2312" w:hAnsi="仿宋" w:eastAsia="仿宋_GB2312" w:cs="仿宋"/>
          <w:bCs/>
          <w:sz w:val="32"/>
          <w:szCs w:val="32"/>
          <w:lang w:bidi="ar"/>
        </w:rPr>
        <w:t>仍</w:t>
      </w:r>
      <w:r>
        <w:rPr>
          <w:rFonts w:ascii="仿宋_GB2312" w:hAnsi="仿宋" w:eastAsia="仿宋_GB2312" w:cs="仿宋"/>
          <w:bCs/>
          <w:sz w:val="32"/>
          <w:szCs w:val="32"/>
          <w:lang w:bidi="ar"/>
        </w:rPr>
        <w:t>需</w:t>
      </w:r>
      <w:r>
        <w:rPr>
          <w:rFonts w:hint="eastAsia" w:ascii="仿宋_GB2312" w:hAnsi="仿宋" w:eastAsia="仿宋_GB2312" w:cs="仿宋"/>
          <w:bCs/>
          <w:sz w:val="32"/>
          <w:szCs w:val="32"/>
          <w:lang w:bidi="ar"/>
        </w:rPr>
        <w:t>保持</w:t>
      </w:r>
      <w:r>
        <w:rPr>
          <w:rFonts w:ascii="仿宋_GB2312" w:hAnsi="仿宋" w:eastAsia="仿宋_GB2312" w:cs="仿宋"/>
          <w:bCs/>
          <w:sz w:val="32"/>
          <w:szCs w:val="32"/>
          <w:lang w:bidi="ar"/>
        </w:rPr>
        <w:t>职业怀疑</w:t>
      </w:r>
      <w:r>
        <w:rPr>
          <w:rFonts w:hint="eastAsia" w:ascii="仿宋_GB2312" w:hAnsi="仿宋" w:eastAsia="仿宋_GB2312" w:cs="仿宋"/>
          <w:bCs/>
          <w:sz w:val="32"/>
          <w:szCs w:val="32"/>
          <w:lang w:bidi="ar"/>
        </w:rPr>
        <w:t>和</w:t>
      </w:r>
      <w:r>
        <w:rPr>
          <w:rFonts w:ascii="仿宋_GB2312" w:hAnsi="仿宋" w:eastAsia="仿宋_GB2312" w:cs="仿宋"/>
          <w:bCs/>
          <w:sz w:val="32"/>
          <w:szCs w:val="32"/>
          <w:lang w:bidi="ar"/>
        </w:rPr>
        <w:t>谨慎，根据具体业务情况，运用</w:t>
      </w:r>
      <w:r>
        <w:rPr>
          <w:rFonts w:hint="eastAsia" w:ascii="仿宋_GB2312" w:hAnsi="仿宋" w:eastAsia="仿宋_GB2312" w:cs="仿宋"/>
          <w:bCs/>
          <w:sz w:val="32"/>
          <w:szCs w:val="32"/>
          <w:lang w:bidi="ar"/>
        </w:rPr>
        <w:t>职业</w:t>
      </w:r>
      <w:r>
        <w:rPr>
          <w:rFonts w:ascii="仿宋_GB2312" w:hAnsi="仿宋" w:eastAsia="仿宋_GB2312" w:cs="仿宋"/>
          <w:bCs/>
          <w:sz w:val="32"/>
          <w:szCs w:val="32"/>
          <w:lang w:bidi="ar"/>
        </w:rPr>
        <w:t>判断，</w:t>
      </w:r>
      <w:r>
        <w:rPr>
          <w:rFonts w:hint="eastAsia" w:ascii="仿宋_GB2312" w:hAnsi="仿宋" w:eastAsia="仿宋_GB2312" w:cs="仿宋"/>
          <w:bCs/>
          <w:sz w:val="32"/>
          <w:szCs w:val="32"/>
          <w:lang w:bidi="ar"/>
        </w:rPr>
        <w:t>合理设计和实施程序，获取充分、适当的证据，以支持得出</w:t>
      </w:r>
      <w:r>
        <w:rPr>
          <w:rFonts w:ascii="仿宋_GB2312" w:hAnsi="仿宋" w:eastAsia="仿宋_GB2312" w:cs="仿宋"/>
          <w:bCs/>
          <w:sz w:val="32"/>
          <w:szCs w:val="32"/>
          <w:lang w:bidi="ar"/>
        </w:rPr>
        <w:t>的结论和</w:t>
      </w:r>
      <w:r>
        <w:rPr>
          <w:rFonts w:hint="eastAsia" w:ascii="仿宋_GB2312" w:hAnsi="仿宋" w:eastAsia="仿宋_GB2312" w:cs="仿宋"/>
          <w:bCs/>
          <w:sz w:val="32"/>
          <w:szCs w:val="32"/>
          <w:lang w:bidi="ar"/>
        </w:rPr>
        <w:t>出具的报告。</w:t>
      </w:r>
    </w:p>
    <w:p w14:paraId="6F3A24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仿宋"/>
          <w:bCs/>
          <w:sz w:val="32"/>
          <w:szCs w:val="32"/>
          <w:lang w:bidi="ar"/>
        </w:rPr>
      </w:pPr>
      <w:r>
        <w:rPr>
          <w:rFonts w:hint="eastAsia" w:ascii="黑体" w:hAnsi="黑体" w:eastAsia="黑体" w:cs="仿宋"/>
          <w:bCs/>
          <w:sz w:val="32"/>
          <w:szCs w:val="32"/>
          <w:lang w:bidi="ar"/>
        </w:rPr>
        <w:t>一、质量管理制度制定及执行方面</w:t>
      </w:r>
    </w:p>
    <w:p w14:paraId="24873C8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 w:eastAsia="仿宋_GB2312" w:cs="仿宋"/>
          <w:b/>
          <w:bCs/>
          <w:sz w:val="32"/>
          <w:szCs w:val="32"/>
          <w:lang w:bidi="ar"/>
        </w:rPr>
      </w:pPr>
      <w:r>
        <w:rPr>
          <w:rFonts w:hint="eastAsia" w:ascii="仿宋_GB2312" w:hAnsi="仿宋" w:eastAsia="仿宋_GB2312" w:cs="仿宋"/>
          <w:b/>
          <w:bCs/>
          <w:sz w:val="32"/>
          <w:szCs w:val="32"/>
          <w:lang w:bidi="ar"/>
        </w:rPr>
        <w:t>1.主要问题</w:t>
      </w:r>
    </w:p>
    <w:p w14:paraId="7329ED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hint="eastAsia" w:ascii="仿宋_GB2312" w:hAnsi="仿宋" w:eastAsia="仿宋_GB2312" w:cs="仿宋"/>
          <w:bCs/>
          <w:sz w:val="32"/>
          <w:szCs w:val="32"/>
          <w:lang w:bidi="ar"/>
        </w:rPr>
        <w:t>未依据最新修订的《会计师事务所质量管理准则第</w:t>
      </w:r>
      <w:r>
        <w:rPr>
          <w:rFonts w:ascii="仿宋_GB2312" w:hAnsi="仿宋" w:eastAsia="仿宋_GB2312" w:cs="仿宋"/>
          <w:bCs/>
          <w:sz w:val="32"/>
          <w:szCs w:val="32"/>
          <w:lang w:bidi="ar"/>
        </w:rPr>
        <w:t>5101号——业务质量管理》《会计师事务所质量管理准则第5102号——项目质量复核》和《中国注册会计师审计准则第1121号——对财务报表审计实施的质量管理》三项质量管理准则</w:t>
      </w:r>
      <w:r>
        <w:rPr>
          <w:rFonts w:hint="eastAsia" w:ascii="仿宋_GB2312" w:hAnsi="仿宋" w:eastAsia="仿宋_GB2312" w:cs="仿宋"/>
          <w:bCs/>
          <w:sz w:val="32"/>
          <w:szCs w:val="32"/>
          <w:lang w:bidi="ar"/>
        </w:rPr>
        <w:t>对会计师事务所</w:t>
      </w:r>
      <w:r>
        <w:rPr>
          <w:rFonts w:ascii="仿宋_GB2312" w:hAnsi="仿宋" w:eastAsia="仿宋_GB2312" w:cs="仿宋"/>
          <w:bCs/>
          <w:sz w:val="32"/>
          <w:szCs w:val="32"/>
          <w:lang w:bidi="ar"/>
        </w:rPr>
        <w:t>质量管理制度进行更新、应用</w:t>
      </w:r>
      <w:r>
        <w:rPr>
          <w:rFonts w:hint="eastAsia" w:ascii="仿宋_GB2312" w:hAnsi="仿宋" w:eastAsia="仿宋_GB2312" w:cs="仿宋"/>
          <w:bCs/>
          <w:sz w:val="32"/>
          <w:szCs w:val="32"/>
          <w:lang w:bidi="ar"/>
        </w:rPr>
        <w:t>；会计师事务所质量管理和复核程序未执行或形式化，未见实际执行质量管理和复核程序的记录。</w:t>
      </w:r>
    </w:p>
    <w:p w14:paraId="2A87FA0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 w:eastAsia="仿宋_GB2312" w:cs="仿宋"/>
          <w:b/>
          <w:bCs/>
          <w:sz w:val="32"/>
          <w:szCs w:val="32"/>
          <w:lang w:bidi="ar"/>
        </w:rPr>
      </w:pPr>
      <w:r>
        <w:rPr>
          <w:rFonts w:hint="eastAsia" w:ascii="仿宋_GB2312" w:hAnsi="仿宋" w:eastAsia="仿宋_GB2312" w:cs="仿宋"/>
          <w:b/>
          <w:bCs/>
          <w:sz w:val="32"/>
          <w:szCs w:val="32"/>
          <w:lang w:bidi="ar"/>
        </w:rPr>
        <w:t>2.指导意见</w:t>
      </w:r>
    </w:p>
    <w:p w14:paraId="3D9076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hint="eastAsia" w:ascii="仿宋_GB2312" w:hAnsi="仿宋" w:eastAsia="仿宋_GB2312" w:cs="仿宋"/>
          <w:bCs/>
          <w:sz w:val="32"/>
          <w:szCs w:val="32"/>
          <w:lang w:bidi="ar"/>
        </w:rPr>
        <w:t>会计师事务所应当依据最新修订的质量管理三项准则对其质量管理制度进行更新，针对所执行的财务报表审计业务、财务报表审阅业务、其他鉴证业务和相关服务，设计、实施和运行质量管理体系，为会计师事务所执业人员按照适用的法律法规、职业准则计划和执行业务并出具报告提供合理保证，持续高质量地执行业务；同时质量复核人员应当客观评价项目组作出的重大判断以及在编制审计报告时得出的结论，针对已复核的审计业务，质量复核人员应当记录复核的具体内容及过程，并就有关事项形成审计工作底稿。</w:t>
      </w:r>
    </w:p>
    <w:p w14:paraId="6A0F91D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 w:eastAsia="仿宋_GB2312" w:cs="仿宋"/>
          <w:b/>
          <w:bCs/>
          <w:sz w:val="32"/>
          <w:szCs w:val="32"/>
          <w:lang w:bidi="ar"/>
        </w:rPr>
      </w:pPr>
      <w:r>
        <w:rPr>
          <w:rFonts w:hint="eastAsia" w:ascii="仿宋_GB2312" w:hAnsi="仿宋" w:eastAsia="仿宋_GB2312" w:cs="仿宋"/>
          <w:b/>
          <w:bCs/>
          <w:sz w:val="32"/>
          <w:szCs w:val="32"/>
          <w:lang w:bidi="ar"/>
        </w:rPr>
        <w:t>3.参考依据</w:t>
      </w:r>
    </w:p>
    <w:p w14:paraId="7259FE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hint="eastAsia" w:ascii="仿宋_GB2312" w:hAnsi="仿宋" w:eastAsia="仿宋_GB2312" w:cs="仿宋"/>
          <w:bCs/>
          <w:sz w:val="32"/>
          <w:szCs w:val="32"/>
          <w:lang w:bidi="ar"/>
        </w:rPr>
        <w:t>(</w:t>
      </w:r>
      <w:r>
        <w:rPr>
          <w:rFonts w:ascii="仿宋_GB2312" w:hAnsi="仿宋" w:eastAsia="仿宋_GB2312" w:cs="仿宋"/>
          <w:bCs/>
          <w:sz w:val="32"/>
          <w:szCs w:val="32"/>
          <w:lang w:bidi="ar"/>
        </w:rPr>
        <w:t>1</w:t>
      </w:r>
      <w:r>
        <w:rPr>
          <w:rFonts w:hint="eastAsia" w:ascii="仿宋_GB2312" w:hAnsi="仿宋" w:eastAsia="仿宋_GB2312" w:cs="仿宋"/>
          <w:bCs/>
          <w:sz w:val="32"/>
          <w:szCs w:val="32"/>
          <w:lang w:bidi="ar"/>
        </w:rPr>
        <w:t>)《会计师事务所质量管理准则第5101号——业务质量管理》第六十五条“会计师事务所应当就项目质量复核制定政策和程序，并对下列业务实施项目质量复核:</w:t>
      </w:r>
      <w:r>
        <w:rPr>
          <w:rFonts w:ascii="仿宋_GB2312" w:hAnsi="仿宋" w:eastAsia="仿宋_GB2312" w:cs="仿宋"/>
          <w:bCs/>
          <w:sz w:val="32"/>
          <w:szCs w:val="32"/>
          <w:lang w:bidi="ar"/>
        </w:rPr>
        <w:t>……</w:t>
      </w:r>
      <w:r>
        <w:rPr>
          <w:rFonts w:hint="eastAsia" w:ascii="仿宋_GB2312" w:hAnsi="仿宋" w:eastAsia="仿宋_GB2312" w:cs="仿宋"/>
          <w:bCs/>
          <w:sz w:val="32"/>
          <w:szCs w:val="32"/>
          <w:lang w:bidi="ar"/>
        </w:rPr>
        <w:t>”、第六十七条“会计师事务所应当制定与内部复核相关的政策和程序，对内部复核的层级、各层级的复核范围、执行复核的具体要求以及对复核的记录要求等作出规定”、第六十九条“会计师事务所应当制定与出具业务报告相关的政策和程序，要求业务报告在出具前，应当经项目合伙人、项目质量复核人员（如有）复核确认，确保其内容、格式符合职业准则的规定，并由项目合伙人及其他适当的人员（如适用）签署”。</w:t>
      </w:r>
    </w:p>
    <w:p w14:paraId="0197A6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ascii="仿宋_GB2312" w:hAnsi="仿宋" w:eastAsia="仿宋_GB2312" w:cs="仿宋"/>
          <w:bCs/>
          <w:sz w:val="32"/>
          <w:szCs w:val="32"/>
          <w:lang w:bidi="ar"/>
        </w:rPr>
        <w:t>(2)</w:t>
      </w:r>
      <w:r>
        <w:rPr>
          <w:rFonts w:hint="eastAsia" w:ascii="仿宋_GB2312" w:hAnsi="仿宋" w:eastAsia="仿宋_GB2312" w:cs="仿宋"/>
          <w:bCs/>
          <w:sz w:val="32"/>
          <w:szCs w:val="32"/>
          <w:lang w:bidi="ar"/>
        </w:rPr>
        <w:t>《会计师事务所质量管理准则第5102号——项目质量复核》第十一条“项目质量复核，是指在报告日或报告日之前，项目质量复核人员对项目组作出的重大判断及据此得出的结论作出的客观评价”、第三十一条“会计师事务所应当制定政策和程序，要求项目质量复核人员负责就项目质量复核形成工作底稿”。</w:t>
      </w:r>
    </w:p>
    <w:p w14:paraId="31EB67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ascii="仿宋_GB2312" w:hAnsi="仿宋" w:eastAsia="仿宋_GB2312" w:cs="仿宋"/>
          <w:bCs/>
          <w:sz w:val="32"/>
          <w:szCs w:val="32"/>
          <w:lang w:bidi="ar"/>
        </w:rPr>
        <w:t>(3)</w:t>
      </w:r>
      <w:r>
        <w:rPr>
          <w:rFonts w:hint="eastAsia" w:ascii="仿宋_GB2312" w:hAnsi="仿宋" w:eastAsia="仿宋_GB2312" w:cs="仿宋"/>
          <w:bCs/>
          <w:sz w:val="32"/>
          <w:szCs w:val="32"/>
          <w:lang w:bidi="ar"/>
        </w:rPr>
        <w:t>《中国注册会计师审计准则第1121号——对财务报表审计实施的质量管理》第三条“会计师事务所负责设计、实施和运行质量管理体系”、第四十条“项目合伙人应当负责对审计项目组成员进行指导、监督并复核其工作”、第四十四条“在审计报告日或审计报告日之前，项目合伙人应当通过复核审计工作底稿以及与审计项目组讨论，确保已获取充分、适当的审计证据，以支持得出的结论和拟出具的审计报告”。</w:t>
      </w:r>
    </w:p>
    <w:p w14:paraId="14C180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仿宋"/>
          <w:bCs/>
          <w:sz w:val="32"/>
          <w:szCs w:val="32"/>
          <w:lang w:bidi="ar"/>
        </w:rPr>
      </w:pPr>
      <w:r>
        <w:rPr>
          <w:rFonts w:hint="eastAsia" w:ascii="黑体" w:hAnsi="黑体" w:eastAsia="黑体" w:cs="仿宋"/>
          <w:bCs/>
          <w:sz w:val="32"/>
          <w:szCs w:val="32"/>
          <w:lang w:bidi="ar"/>
        </w:rPr>
        <w:t>二、财务</w:t>
      </w:r>
      <w:r>
        <w:rPr>
          <w:rFonts w:ascii="黑体" w:hAnsi="黑体" w:eastAsia="黑体" w:cs="仿宋"/>
          <w:bCs/>
          <w:sz w:val="32"/>
          <w:szCs w:val="32"/>
          <w:lang w:bidi="ar"/>
        </w:rPr>
        <w:t>报表审计</w:t>
      </w:r>
      <w:r>
        <w:rPr>
          <w:rFonts w:hint="eastAsia" w:ascii="黑体" w:hAnsi="黑体" w:eastAsia="黑体" w:cs="仿宋"/>
          <w:bCs/>
          <w:sz w:val="32"/>
          <w:szCs w:val="32"/>
          <w:lang w:bidi="ar"/>
        </w:rPr>
        <w:t>业务报告披露及程序执行方面</w:t>
      </w:r>
    </w:p>
    <w:p w14:paraId="4D2F659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楷体_GB2312" w:hAnsi="黑体" w:eastAsia="楷体_GB2312" w:cs="仿宋"/>
          <w:b/>
          <w:bCs/>
          <w:sz w:val="32"/>
          <w:szCs w:val="32"/>
          <w:lang w:bidi="ar"/>
        </w:rPr>
      </w:pPr>
      <w:r>
        <w:rPr>
          <w:rFonts w:hint="eastAsia" w:ascii="楷体_GB2312" w:hAnsi="黑体" w:eastAsia="楷体_GB2312" w:cs="仿宋"/>
          <w:b/>
          <w:bCs/>
          <w:sz w:val="32"/>
          <w:szCs w:val="32"/>
          <w:lang w:bidi="ar"/>
        </w:rPr>
        <w:t>（一）财务报表列报及附注披露</w:t>
      </w:r>
    </w:p>
    <w:p w14:paraId="4DB8883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 w:eastAsia="仿宋_GB2312" w:cs="仿宋"/>
          <w:b/>
          <w:bCs/>
          <w:sz w:val="32"/>
          <w:szCs w:val="32"/>
          <w:lang w:bidi="ar"/>
        </w:rPr>
      </w:pPr>
      <w:r>
        <w:rPr>
          <w:rFonts w:hint="eastAsia" w:ascii="仿宋_GB2312" w:hAnsi="仿宋" w:eastAsia="仿宋_GB2312" w:cs="仿宋"/>
          <w:b/>
          <w:bCs/>
          <w:sz w:val="32"/>
          <w:szCs w:val="32"/>
          <w:lang w:bidi="ar"/>
        </w:rPr>
        <w:t>1.主要问题</w:t>
      </w:r>
    </w:p>
    <w:p w14:paraId="540CE9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hint="eastAsia" w:ascii="仿宋_GB2312" w:hAnsi="仿宋" w:eastAsia="仿宋_GB2312" w:cs="仿宋"/>
          <w:bCs/>
          <w:sz w:val="32"/>
          <w:szCs w:val="32"/>
          <w:lang w:bidi="ar"/>
        </w:rPr>
        <w:t>(</w:t>
      </w:r>
      <w:r>
        <w:rPr>
          <w:rFonts w:ascii="仿宋_GB2312" w:hAnsi="仿宋" w:eastAsia="仿宋_GB2312" w:cs="仿宋"/>
          <w:bCs/>
          <w:sz w:val="32"/>
          <w:szCs w:val="32"/>
          <w:lang w:bidi="ar"/>
        </w:rPr>
        <w:t>1</w:t>
      </w:r>
      <w:r>
        <w:rPr>
          <w:rFonts w:hint="eastAsia" w:ascii="仿宋_GB2312" w:hAnsi="仿宋" w:eastAsia="仿宋_GB2312" w:cs="仿宋"/>
          <w:bCs/>
          <w:sz w:val="32"/>
          <w:szCs w:val="32"/>
          <w:lang w:bidi="ar"/>
        </w:rPr>
        <w:t>)财务报表未经被审计单位相关负责人签章。</w:t>
      </w:r>
    </w:p>
    <w:p w14:paraId="050C4B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ascii="仿宋_GB2312" w:hAnsi="仿宋" w:eastAsia="仿宋_GB2312" w:cs="仿宋"/>
          <w:bCs/>
          <w:sz w:val="32"/>
          <w:szCs w:val="32"/>
          <w:lang w:bidi="ar"/>
        </w:rPr>
        <w:t>(2)</w:t>
      </w:r>
      <w:r>
        <w:rPr>
          <w:rFonts w:hint="eastAsia" w:ascii="仿宋_GB2312" w:hAnsi="仿宋" w:eastAsia="仿宋_GB2312" w:cs="仿宋"/>
          <w:bCs/>
          <w:sz w:val="32"/>
          <w:szCs w:val="32"/>
          <w:lang w:bidi="ar"/>
        </w:rPr>
        <w:t>财务报表列报不完整，未列报利润表及现金流量表的上期数。</w:t>
      </w:r>
    </w:p>
    <w:p w14:paraId="34B849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hint="eastAsia" w:ascii="仿宋_GB2312" w:hAnsi="仿宋" w:eastAsia="仿宋_GB2312" w:cs="仿宋"/>
          <w:bCs/>
          <w:sz w:val="32"/>
          <w:szCs w:val="32"/>
          <w:lang w:bidi="ar"/>
        </w:rPr>
        <w:t>(</w:t>
      </w:r>
      <w:r>
        <w:rPr>
          <w:rFonts w:ascii="仿宋_GB2312" w:hAnsi="仿宋" w:eastAsia="仿宋_GB2312" w:cs="仿宋"/>
          <w:bCs/>
          <w:sz w:val="32"/>
          <w:szCs w:val="32"/>
          <w:lang w:bidi="ar"/>
        </w:rPr>
        <w:t>3</w:t>
      </w:r>
      <w:r>
        <w:rPr>
          <w:rFonts w:hint="eastAsia" w:ascii="仿宋_GB2312" w:hAnsi="仿宋" w:eastAsia="仿宋_GB2312" w:cs="仿宋"/>
          <w:bCs/>
          <w:sz w:val="32"/>
          <w:szCs w:val="32"/>
          <w:lang w:bidi="ar"/>
        </w:rPr>
        <w:t>)财务报表附注披露不完整。其中，主要会计政策、会计估计披露不完整，部分报表项目未披露期初数或上期数、未披露现金流量表相关内容，未披露资产抵押、担保及受限情况，未披露未决诉讼、期后事项等。</w:t>
      </w:r>
    </w:p>
    <w:p w14:paraId="67369FD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 w:eastAsia="仿宋_GB2312" w:cs="仿宋"/>
          <w:b/>
          <w:bCs/>
          <w:sz w:val="32"/>
          <w:szCs w:val="32"/>
          <w:lang w:bidi="ar"/>
        </w:rPr>
      </w:pPr>
      <w:r>
        <w:rPr>
          <w:rFonts w:hint="eastAsia" w:ascii="仿宋_GB2312" w:hAnsi="仿宋" w:eastAsia="仿宋_GB2312" w:cs="仿宋"/>
          <w:b/>
          <w:bCs/>
          <w:sz w:val="32"/>
          <w:szCs w:val="32"/>
          <w:lang w:bidi="ar"/>
        </w:rPr>
        <w:t>2.指导意见</w:t>
      </w:r>
    </w:p>
    <w:p w14:paraId="0EEF95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ascii="仿宋_GB2312" w:hAnsi="仿宋" w:eastAsia="仿宋_GB2312" w:cs="仿宋"/>
          <w:bCs/>
          <w:sz w:val="32"/>
          <w:szCs w:val="32"/>
          <w:lang w:bidi="ar"/>
        </w:rPr>
        <w:t>(1)</w:t>
      </w:r>
      <w:r>
        <w:rPr>
          <w:rFonts w:hint="eastAsia" w:ascii="仿宋_GB2312" w:hAnsi="仿宋" w:eastAsia="仿宋_GB2312" w:cs="仿宋"/>
          <w:bCs/>
          <w:sz w:val="32"/>
          <w:szCs w:val="32"/>
          <w:lang w:bidi="ar"/>
        </w:rPr>
        <w:t>财务报表应当由被审计单位负责人和主管会计工作的负责人、会计机构负责人（会计主管人员）签名并盖章。</w:t>
      </w:r>
    </w:p>
    <w:p w14:paraId="21D1CF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ascii="仿宋_GB2312" w:hAnsi="仿宋" w:eastAsia="仿宋_GB2312" w:cs="仿宋"/>
          <w:bCs/>
          <w:sz w:val="32"/>
          <w:szCs w:val="32"/>
          <w:lang w:bidi="ar"/>
        </w:rPr>
        <w:t>(2)</w:t>
      </w:r>
      <w:r>
        <w:rPr>
          <w:rFonts w:hint="eastAsia" w:ascii="仿宋_GB2312" w:hAnsi="仿宋" w:eastAsia="仿宋_GB2312" w:cs="仿宋"/>
          <w:bCs/>
          <w:sz w:val="32"/>
          <w:szCs w:val="32"/>
          <w:lang w:bidi="ar"/>
        </w:rPr>
        <w:t>根据企业会计准则的</w:t>
      </w:r>
      <w:r>
        <w:rPr>
          <w:rFonts w:ascii="仿宋_GB2312" w:hAnsi="仿宋" w:eastAsia="仿宋_GB2312" w:cs="仿宋"/>
          <w:bCs/>
          <w:sz w:val="32"/>
          <w:szCs w:val="32"/>
          <w:lang w:bidi="ar"/>
        </w:rPr>
        <w:t>规定，</w:t>
      </w:r>
      <w:r>
        <w:rPr>
          <w:rFonts w:hint="eastAsia" w:ascii="仿宋_GB2312" w:hAnsi="仿宋" w:eastAsia="仿宋_GB2312" w:cs="仿宋"/>
          <w:bCs/>
          <w:sz w:val="32"/>
          <w:szCs w:val="32"/>
          <w:lang w:bidi="ar"/>
        </w:rPr>
        <w:t>财务报表应当列报各项目上一个可比会计期间的比较数据，以及与理解当期财务报表相关的说明，但其他会计准则另有规定的除外；</w:t>
      </w:r>
    </w:p>
    <w:p w14:paraId="5F17BD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ascii="仿宋_GB2312" w:hAnsi="仿宋" w:eastAsia="仿宋_GB2312" w:cs="仿宋"/>
          <w:bCs/>
          <w:sz w:val="32"/>
          <w:szCs w:val="32"/>
          <w:lang w:bidi="ar"/>
        </w:rPr>
        <w:t>(3)</w:t>
      </w:r>
      <w:r>
        <w:rPr>
          <w:rFonts w:hint="eastAsia" w:ascii="仿宋_GB2312" w:hAnsi="仿宋" w:eastAsia="仿宋_GB2312" w:cs="仿宋"/>
          <w:bCs/>
          <w:sz w:val="32"/>
          <w:szCs w:val="32"/>
          <w:lang w:bidi="ar"/>
        </w:rPr>
        <w:t>财务报表附注应当结合被审计单位的具体情况披露其重要会计政策及会计估计，应当对报表重要项目采用文字和数字描述相结合的方式进行披露。</w:t>
      </w:r>
    </w:p>
    <w:p w14:paraId="7328BC4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 w:eastAsia="仿宋_GB2312" w:cs="仿宋"/>
          <w:b/>
          <w:bCs/>
          <w:sz w:val="32"/>
          <w:szCs w:val="32"/>
          <w:lang w:bidi="ar"/>
        </w:rPr>
      </w:pPr>
      <w:r>
        <w:rPr>
          <w:rFonts w:hint="eastAsia" w:ascii="仿宋_GB2312" w:hAnsi="仿宋" w:eastAsia="仿宋_GB2312" w:cs="仿宋"/>
          <w:b/>
          <w:bCs/>
          <w:sz w:val="32"/>
          <w:szCs w:val="32"/>
          <w:lang w:bidi="ar"/>
        </w:rPr>
        <w:t>3.参考依据</w:t>
      </w:r>
    </w:p>
    <w:p w14:paraId="39B9C5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ascii="仿宋_GB2312" w:hAnsi="仿宋" w:eastAsia="仿宋_GB2312" w:cs="仿宋"/>
          <w:bCs/>
          <w:sz w:val="32"/>
          <w:szCs w:val="32"/>
          <w:lang w:bidi="ar"/>
        </w:rPr>
        <w:t>(1)</w:t>
      </w:r>
      <w:r>
        <w:rPr>
          <w:rFonts w:hint="eastAsia" w:ascii="仿宋_GB2312" w:hAnsi="仿宋" w:eastAsia="仿宋_GB2312" w:cs="仿宋"/>
          <w:bCs/>
          <w:sz w:val="32"/>
          <w:szCs w:val="32"/>
          <w:lang w:bidi="ar"/>
        </w:rPr>
        <w:t>《中国注册会计师审计准则第1501号——对财务报表形成审计意见和出具审计报告》第十四条“注册会计师应当依据适用的财务报告编制基础特别评价下列内容：（一）财务报表是否恰当披露了所选择和运用的重要会计政策。作出这一评价时，注册会计师应当考虑会计政策与被审计单位的相关性，以及会计政策是否以可理解的方式予以表述；（二）所选择和运用的会计政策是否符合适用的财务报告编制基础，并适合被审计单位的具体情况；（三）管理层作出的会计估计和相关披露是否合理；（四）财务报表列报的信息是否具有相关性、可靠性、可比性和可理解性。作出这一评价时，注册会计师应当考虑：1.应当包括的信息是否均已包括，这些信息的分类、汇总或分解以及描述是否适当；2．财务报表的总体列报（包括披露）是否由于包括不相关的信息或有碍正确理解所披露事项的信息而受到不利影响。（五）财务报表是否作出充分披露，使预期使用者能够理解重大交易和事项对财务报表所传递信息的影响</w:t>
      </w:r>
      <w:bookmarkStart w:id="0" w:name="OLE_LINK5"/>
      <w:r>
        <w:rPr>
          <w:rFonts w:ascii="仿宋_GB2312" w:hAnsi="仿宋" w:eastAsia="仿宋_GB2312" w:cs="仿宋"/>
          <w:bCs/>
          <w:sz w:val="32"/>
          <w:szCs w:val="32"/>
          <w:lang w:bidi="ar"/>
        </w:rPr>
        <w:t>……</w:t>
      </w:r>
      <w:bookmarkEnd w:id="0"/>
      <w:r>
        <w:rPr>
          <w:rFonts w:hint="eastAsia" w:ascii="仿宋_GB2312" w:hAnsi="仿宋" w:eastAsia="仿宋_GB2312" w:cs="仿宋"/>
          <w:bCs/>
          <w:sz w:val="32"/>
          <w:szCs w:val="32"/>
          <w:lang w:bidi="ar"/>
        </w:rPr>
        <w:t>”、第四十二条“在确定审计报告日时，注册会计师应当确信已获取下列两方面的审计证据：（一）构成整套财务报表的所有报表（含披露）已编制完成；（二）被审计单位的董事会、管理层或类似机构已经认可其对财务报表负责”。</w:t>
      </w:r>
    </w:p>
    <w:p w14:paraId="41AC80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ascii="仿宋_GB2312" w:hAnsi="仿宋" w:eastAsia="仿宋_GB2312" w:cs="仿宋"/>
          <w:bCs/>
          <w:sz w:val="32"/>
          <w:szCs w:val="32"/>
          <w:lang w:bidi="ar"/>
        </w:rPr>
        <w:t>(2)</w:t>
      </w:r>
      <w:r>
        <w:rPr>
          <w:rFonts w:hint="eastAsia" w:ascii="仿宋_GB2312" w:hAnsi="仿宋" w:eastAsia="仿宋_GB2312" w:cs="仿宋"/>
          <w:bCs/>
          <w:sz w:val="32"/>
          <w:szCs w:val="32"/>
          <w:lang w:bidi="ar"/>
        </w:rPr>
        <w:t>《中华人民共和国会计法》（2024年修正）第十九条“单位提供的担保、未决诉讼等或有事项，应当按照国家统一的会计制度的规定，在财务会计报告中予以说明”、第二十条“</w:t>
      </w:r>
      <w:r>
        <w:rPr>
          <w:rFonts w:ascii="仿宋_GB2312" w:hAnsi="仿宋" w:eastAsia="仿宋_GB2312" w:cs="仿宋"/>
          <w:bCs/>
          <w:sz w:val="32"/>
          <w:szCs w:val="32"/>
          <w:lang w:bidi="ar"/>
        </w:rPr>
        <w:t>……</w:t>
      </w:r>
      <w:r>
        <w:rPr>
          <w:rFonts w:hint="eastAsia" w:ascii="仿宋_GB2312" w:hAnsi="仿宋" w:eastAsia="仿宋_GB2312" w:cs="仿宋"/>
          <w:bCs/>
          <w:sz w:val="32"/>
          <w:szCs w:val="32"/>
          <w:lang w:bidi="ar"/>
        </w:rPr>
        <w:t>有关法律、行政法规规定财务会计报告须经注册会计师审计的，注册会计师及其所在的会计师事务所出具的审计报告应当随同财务会计报告一并提供”、第二十一条“财务会计报告应当由单位负责人和主管会计工作的负责人、会计机构负责人（会计主管人员）签名并盖章；设置总会计师的单位，还须由总会计师签名并盖章”。</w:t>
      </w:r>
    </w:p>
    <w:p w14:paraId="6F06D6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ascii="仿宋_GB2312" w:hAnsi="仿宋" w:eastAsia="仿宋_GB2312" w:cs="仿宋"/>
          <w:bCs/>
          <w:sz w:val="32"/>
          <w:szCs w:val="32"/>
          <w:lang w:bidi="ar"/>
        </w:rPr>
        <w:t>(3)</w:t>
      </w:r>
      <w:r>
        <w:rPr>
          <w:rFonts w:hint="eastAsia" w:ascii="仿宋_GB2312" w:hAnsi="仿宋" w:eastAsia="仿宋_GB2312" w:cs="仿宋"/>
          <w:bCs/>
          <w:sz w:val="32"/>
          <w:szCs w:val="32"/>
          <w:lang w:bidi="ar"/>
        </w:rPr>
        <w:t>《企业会计准则第30号——财务报表列报》第十二条第一款“当期财务报表的列报，至少应当提供所有列报项目上一个可比会计期间的比较数据，以及与理解当期财务报表相关的说明，但其他会计准则另有规定的除外”、第三十七条“附注是对在资产负债表、利润表、现金流量表和所有者权益变动表等报表中列示项目的文字描述或明细资料，以及对未能在这些报表中列示项目的说明等”、第三十九条“附注一般应当按照下列顺序至少披露：</w:t>
      </w:r>
      <w:r>
        <w:rPr>
          <w:rFonts w:ascii="仿宋_GB2312" w:hAnsi="仿宋" w:eastAsia="仿宋_GB2312" w:cs="仿宋"/>
          <w:bCs/>
          <w:sz w:val="32"/>
          <w:szCs w:val="32"/>
          <w:lang w:bidi="ar"/>
        </w:rPr>
        <w:t>……</w:t>
      </w:r>
      <w:r>
        <w:rPr>
          <w:rFonts w:hint="eastAsia" w:ascii="仿宋_GB2312" w:hAnsi="仿宋" w:eastAsia="仿宋_GB2312" w:cs="仿宋"/>
          <w:bCs/>
          <w:sz w:val="32"/>
          <w:szCs w:val="32"/>
          <w:lang w:bidi="ar"/>
        </w:rPr>
        <w:t>（四）重要会计政策和会计估计。重要会计政策的说明，包括财务报表项目的计量基础和在运用会计政策过程中所做的重要判断等。重要会计估计的说明，包括可能导致下一个会计期间内资产、负债账面价值重大调整的会计估计的确定依据等。企业应当披露采用的重要会计政策和会计估计，并结合企业的具体实际披露其重要会计政策的确定依据和财务报表项目的计量基础，及其会计估计所采用的关键假设和不确定因素。（五）会计政策和会计估计变更以及差错更正的说明。企业应当按照《企业会计准则第28号——会计政策、会计估计变更和差错更正》的规定，披露会计政策和会计估计变更以及差错更正的情况。（六）报表重要项目的说明。企业应当按照资产负债表、利润表、现金流量表、所有者权益变动表及其项目列示的顺序，对报表重要项目的说明采用文字和数字描述相结合的方式进行披露。报表重要项目的明细金额合计，应当与报表项目金额相衔接。企业应当在附注中披露费用按照性质分类的利润表补充资料，可将费用分为耗用的原材料、职工薪酬费用、折旧费用、摊销费用等。（七）或有和承诺事项、资产负债表日后非调整事项、关联方关系及其交易等需要说明的事项</w:t>
      </w:r>
      <w:r>
        <w:rPr>
          <w:rFonts w:ascii="仿宋_GB2312" w:hAnsi="仿宋" w:eastAsia="仿宋_GB2312" w:cs="仿宋"/>
          <w:bCs/>
          <w:sz w:val="32"/>
          <w:szCs w:val="32"/>
          <w:lang w:bidi="ar"/>
        </w:rPr>
        <w:t>……</w:t>
      </w:r>
      <w:r>
        <w:rPr>
          <w:rFonts w:hint="eastAsia" w:ascii="仿宋_GB2312" w:hAnsi="仿宋" w:eastAsia="仿宋_GB2312" w:cs="仿宋"/>
          <w:bCs/>
          <w:sz w:val="32"/>
          <w:szCs w:val="32"/>
          <w:lang w:bidi="ar"/>
        </w:rPr>
        <w:t>”。</w:t>
      </w:r>
    </w:p>
    <w:p w14:paraId="6CB36F8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楷体_GB2312" w:hAnsi="黑体" w:eastAsia="楷体_GB2312" w:cs="仿宋"/>
          <w:b/>
          <w:bCs/>
          <w:sz w:val="32"/>
          <w:szCs w:val="32"/>
          <w:lang w:bidi="ar"/>
        </w:rPr>
      </w:pPr>
      <w:r>
        <w:rPr>
          <w:rFonts w:hint="eastAsia" w:ascii="楷体_GB2312" w:hAnsi="黑体" w:eastAsia="楷体_GB2312" w:cs="仿宋"/>
          <w:b/>
          <w:bCs/>
          <w:sz w:val="32"/>
          <w:szCs w:val="32"/>
          <w:lang w:bidi="ar"/>
        </w:rPr>
        <w:t>（二）审计计划编制</w:t>
      </w:r>
    </w:p>
    <w:p w14:paraId="734AE35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黑体" w:eastAsia="仿宋_GB2312" w:cs="仿宋"/>
          <w:b/>
          <w:bCs/>
          <w:sz w:val="32"/>
          <w:szCs w:val="32"/>
          <w:lang w:bidi="ar"/>
        </w:rPr>
      </w:pPr>
      <w:r>
        <w:rPr>
          <w:rFonts w:hint="eastAsia" w:ascii="仿宋_GB2312" w:hAnsi="黑体" w:eastAsia="仿宋_GB2312" w:cs="仿宋"/>
          <w:b/>
          <w:bCs/>
          <w:sz w:val="32"/>
          <w:szCs w:val="32"/>
          <w:lang w:bidi="ar"/>
        </w:rPr>
        <w:t>1.主要问题</w:t>
      </w:r>
    </w:p>
    <w:p w14:paraId="4B38DC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hint="eastAsia" w:ascii="仿宋_GB2312" w:hAnsi="仿宋" w:eastAsia="仿宋_GB2312" w:cs="仿宋"/>
          <w:bCs/>
          <w:sz w:val="32"/>
          <w:szCs w:val="32"/>
          <w:lang w:bidi="ar"/>
        </w:rPr>
        <w:t>未编制总体审计策略和具体审计计划，或编制流于形式，或内容不完整。</w:t>
      </w:r>
    </w:p>
    <w:p w14:paraId="71D5225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黑体" w:eastAsia="仿宋_GB2312" w:cs="仿宋"/>
          <w:b/>
          <w:bCs/>
          <w:sz w:val="32"/>
          <w:szCs w:val="32"/>
          <w:lang w:bidi="ar"/>
        </w:rPr>
      </w:pPr>
      <w:r>
        <w:rPr>
          <w:rFonts w:hint="eastAsia" w:ascii="仿宋_GB2312" w:hAnsi="黑体" w:eastAsia="仿宋_GB2312" w:cs="仿宋"/>
          <w:b/>
          <w:bCs/>
          <w:sz w:val="32"/>
          <w:szCs w:val="32"/>
          <w:lang w:bidi="ar"/>
        </w:rPr>
        <w:t>2.指导意见</w:t>
      </w:r>
    </w:p>
    <w:p w14:paraId="7E8CA0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hint="eastAsia" w:ascii="仿宋_GB2312" w:hAnsi="仿宋" w:eastAsia="仿宋_GB2312" w:cs="仿宋"/>
          <w:bCs/>
          <w:sz w:val="32"/>
          <w:szCs w:val="32"/>
          <w:lang w:bidi="ar"/>
        </w:rPr>
        <w:t>注册会计师应当制定总体审计策略和具体审计计划，使审计工作以有效的方式得到执行。</w:t>
      </w:r>
    </w:p>
    <w:p w14:paraId="1A6B769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 w:eastAsia="仿宋_GB2312" w:cs="仿宋"/>
          <w:b/>
          <w:bCs/>
          <w:sz w:val="32"/>
          <w:szCs w:val="32"/>
          <w:lang w:bidi="ar"/>
        </w:rPr>
      </w:pPr>
      <w:r>
        <w:rPr>
          <w:rFonts w:hint="eastAsia" w:ascii="仿宋_GB2312" w:hAnsi="仿宋" w:eastAsia="仿宋_GB2312" w:cs="仿宋"/>
          <w:b/>
          <w:bCs/>
          <w:sz w:val="32"/>
          <w:szCs w:val="32"/>
          <w:lang w:bidi="ar"/>
        </w:rPr>
        <w:t>3.参考依据</w:t>
      </w:r>
    </w:p>
    <w:p w14:paraId="119B62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hint="eastAsia" w:ascii="仿宋_GB2312" w:hAnsi="仿宋" w:eastAsia="仿宋_GB2312" w:cs="仿宋"/>
          <w:bCs/>
          <w:sz w:val="32"/>
          <w:szCs w:val="32"/>
          <w:lang w:bidi="ar"/>
        </w:rPr>
        <w:t>《中国注册会计师审计准则第1201号——计划审计工作》第七条“注册会计师应当制定总体审计策略，以确定审计工作的范围、时间安排和方向，并指导具体审计计划的制定”、第八条“在制定总体审计策略时，注册会计师应当考虑按照《中国注册会计师审计准则第1121号——对财务报表审计实施的质量管理》的要求获取的信息，并采取下列措施：（一）确定审计业务的特征，以界定审计范围；（二）明确审计业务的报告目标，以计划审计的时间安排和所需沟通的性质；（三）根据职业判断，考虑用以指导项目组工作方向的重要因素；（四）考虑初步业务活动的结果，并考虑项目合伙人对被审计单位执行其他业务时获得的经验是否与审计业务相关（如适用）；（五）确定执行业务所需资源的性质、时间安排和范围”、第九条“注册会计师应当制定具体审计计划。具体审计计划应当包括下列内容：（一）计划对项目组成员实施指导、监督并复核其工作的性质、时间安排和范围；（二）按照《中国注册会计师审计准则第1211号——重大错报风险的识别和评估》的规定，计划实施的风险评估程序的性质、时间安排和范围；（三）按照《中国注册会计师审计准则第1231号——针对评估的重大错报风险采取的应对措施》的规定，在认定层次计划实施的进一步审计程序的性质、时间安排和范围；（四）根据审计准则的规定，计划应当实施的其他审计程序”、第十条“在审计过程中，注册会计师应当在必要时对总体审计策略和具体审计计划作出更新和修改”、第十一条“注册会计师应当就下列事项形成审计工作底稿：（一）总体审计策略；（二）具体审计计划；（三）在审计过程中对总体审计策略或具体审计计划作出的任何重大修改及其理由，包括对项目组成员实施指导、监督和复核的计划作出的重大修改及其理由”。</w:t>
      </w:r>
    </w:p>
    <w:p w14:paraId="695ED4E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楷体_GB2312" w:hAnsi="黑体" w:eastAsia="楷体_GB2312" w:cs="仿宋"/>
          <w:b/>
          <w:sz w:val="32"/>
          <w:szCs w:val="32"/>
          <w:lang w:bidi="ar"/>
        </w:rPr>
      </w:pPr>
      <w:r>
        <w:rPr>
          <w:rFonts w:hint="eastAsia" w:ascii="楷体_GB2312" w:hAnsi="黑体" w:eastAsia="楷体_GB2312" w:cs="仿宋"/>
          <w:b/>
          <w:sz w:val="32"/>
          <w:szCs w:val="32"/>
          <w:lang w:bidi="ar"/>
        </w:rPr>
        <w:t>（三）风险评估程序执行</w:t>
      </w:r>
    </w:p>
    <w:p w14:paraId="7619CCA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 w:eastAsia="仿宋_GB2312" w:cs="仿宋"/>
          <w:b/>
          <w:bCs/>
          <w:sz w:val="32"/>
          <w:szCs w:val="32"/>
          <w:lang w:bidi="ar"/>
        </w:rPr>
      </w:pPr>
      <w:r>
        <w:rPr>
          <w:rFonts w:hint="eastAsia" w:ascii="仿宋_GB2312" w:hAnsi="仿宋" w:eastAsia="仿宋_GB2312" w:cs="仿宋"/>
          <w:b/>
          <w:bCs/>
          <w:sz w:val="32"/>
          <w:szCs w:val="32"/>
          <w:lang w:bidi="ar"/>
        </w:rPr>
        <w:t>1.主要问题</w:t>
      </w:r>
    </w:p>
    <w:p w14:paraId="56CCE1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hint="eastAsia" w:ascii="仿宋_GB2312" w:hAnsi="仿宋" w:eastAsia="仿宋_GB2312" w:cs="仿宋"/>
          <w:bCs/>
          <w:sz w:val="32"/>
          <w:szCs w:val="32"/>
          <w:lang w:bidi="ar"/>
        </w:rPr>
        <w:t>(</w:t>
      </w:r>
      <w:r>
        <w:rPr>
          <w:rFonts w:ascii="仿宋_GB2312" w:hAnsi="仿宋" w:eastAsia="仿宋_GB2312" w:cs="仿宋"/>
          <w:bCs/>
          <w:sz w:val="32"/>
          <w:szCs w:val="32"/>
          <w:lang w:bidi="ar"/>
        </w:rPr>
        <w:t>1</w:t>
      </w:r>
      <w:r>
        <w:rPr>
          <w:rFonts w:hint="eastAsia" w:ascii="仿宋_GB2312" w:hAnsi="仿宋" w:eastAsia="仿宋_GB2312" w:cs="仿宋"/>
          <w:bCs/>
          <w:sz w:val="32"/>
          <w:szCs w:val="32"/>
          <w:lang w:bidi="ar"/>
        </w:rPr>
        <w:t>)风险评估程序未执行或形式化。</w:t>
      </w:r>
    </w:p>
    <w:p w14:paraId="0CEF47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ascii="仿宋_GB2312" w:hAnsi="仿宋" w:eastAsia="仿宋_GB2312" w:cs="仿宋"/>
          <w:bCs/>
          <w:sz w:val="32"/>
          <w:szCs w:val="32"/>
          <w:lang w:bidi="ar"/>
        </w:rPr>
        <w:t>(2)</w:t>
      </w:r>
      <w:r>
        <w:rPr>
          <w:rFonts w:hint="eastAsia" w:ascii="仿宋_GB2312" w:hAnsi="仿宋" w:eastAsia="仿宋_GB2312" w:cs="仿宋"/>
          <w:bCs/>
          <w:sz w:val="32"/>
          <w:szCs w:val="32"/>
          <w:lang w:bidi="ar"/>
        </w:rPr>
        <w:t>业务规模小、收费低或多年连续审计项目，未执行风险评估程序。</w:t>
      </w:r>
    </w:p>
    <w:p w14:paraId="52A1EC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ascii="仿宋_GB2312" w:hAnsi="仿宋" w:eastAsia="仿宋_GB2312" w:cs="仿宋"/>
          <w:bCs/>
          <w:sz w:val="32"/>
          <w:szCs w:val="32"/>
          <w:lang w:bidi="ar"/>
        </w:rPr>
        <w:t>(3)</w:t>
      </w:r>
      <w:r>
        <w:rPr>
          <w:rFonts w:hint="eastAsia" w:ascii="仿宋_GB2312" w:hAnsi="仿宋" w:eastAsia="仿宋_GB2312" w:cs="仿宋"/>
          <w:bCs/>
          <w:sz w:val="32"/>
          <w:szCs w:val="32"/>
          <w:lang w:bidi="ar"/>
        </w:rPr>
        <w:t>集团合并报表审计中，仅在集团层面执行风险评估程序，在对各组成部分的个别报表单独出具审计报告时，未在组成部分的个别报表层面执行风险评估程序。</w:t>
      </w:r>
    </w:p>
    <w:p w14:paraId="28F6BAA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 w:eastAsia="仿宋_GB2312" w:cs="仿宋"/>
          <w:b/>
          <w:bCs/>
          <w:sz w:val="32"/>
          <w:szCs w:val="32"/>
          <w:lang w:bidi="ar"/>
        </w:rPr>
      </w:pPr>
      <w:bookmarkStart w:id="1" w:name="OLE_LINK2"/>
      <w:bookmarkStart w:id="2" w:name="OLE_LINK1"/>
      <w:r>
        <w:rPr>
          <w:rFonts w:hint="eastAsia" w:ascii="仿宋_GB2312" w:hAnsi="仿宋" w:eastAsia="仿宋_GB2312" w:cs="仿宋"/>
          <w:b/>
          <w:bCs/>
          <w:sz w:val="32"/>
          <w:szCs w:val="32"/>
          <w:lang w:bidi="ar"/>
        </w:rPr>
        <w:t>2.指导意见</w:t>
      </w:r>
      <w:bookmarkEnd w:id="1"/>
      <w:bookmarkEnd w:id="2"/>
    </w:p>
    <w:p w14:paraId="1C6287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hint="eastAsia" w:ascii="仿宋_GB2312" w:hAnsi="仿宋" w:eastAsia="仿宋_GB2312" w:cs="仿宋"/>
          <w:bCs/>
          <w:sz w:val="32"/>
          <w:szCs w:val="32"/>
          <w:lang w:bidi="ar"/>
        </w:rPr>
        <w:t>无论被审计单位业务规模大小、审计收费高低，注册会计师均应识别、评估财务报表层次和认定层次重大错报风险，从而为设计和实施应对措施提供依据；连续提供审计服务时，应当评价以前服务被审计单位的经验和获取的信息作为审计证据是否仍然相关和可靠；在集团审计中，对重要组成部分财务信息执行审计并出具审计报告，亦应对组成部分实施风险评估程序，为设计和实施应对措施提供依据，同时识别导致集团财务报表发生重大错报的特别风险。</w:t>
      </w:r>
    </w:p>
    <w:p w14:paraId="0AF36C9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 w:eastAsia="仿宋_GB2312" w:cs="仿宋"/>
          <w:b/>
          <w:bCs/>
          <w:sz w:val="32"/>
          <w:szCs w:val="32"/>
          <w:lang w:bidi="ar"/>
        </w:rPr>
      </w:pPr>
      <w:r>
        <w:rPr>
          <w:rFonts w:hint="eastAsia" w:ascii="仿宋_GB2312" w:hAnsi="仿宋" w:eastAsia="仿宋_GB2312" w:cs="仿宋"/>
          <w:b/>
          <w:bCs/>
          <w:sz w:val="32"/>
          <w:szCs w:val="32"/>
          <w:lang w:bidi="ar"/>
        </w:rPr>
        <w:t>3.参考依据</w:t>
      </w:r>
    </w:p>
    <w:p w14:paraId="3799DB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ascii="仿宋_GB2312" w:hAnsi="仿宋" w:eastAsia="仿宋_GB2312" w:cs="仿宋"/>
          <w:bCs/>
          <w:sz w:val="32"/>
          <w:szCs w:val="32"/>
          <w:lang w:bidi="ar"/>
        </w:rPr>
        <w:t>(1)</w:t>
      </w:r>
      <w:r>
        <w:rPr>
          <w:rFonts w:hint="eastAsia" w:ascii="仿宋_GB2312" w:hAnsi="仿宋" w:eastAsia="仿宋_GB2312" w:cs="仿宋"/>
          <w:bCs/>
          <w:sz w:val="32"/>
          <w:szCs w:val="32"/>
          <w:lang w:bidi="ar"/>
        </w:rPr>
        <w:t>《中国注册会计师审计准则第1211号——重大错报风险的识别和评估》第十八条“注册会计师应当设计和实施风险评估程序，以获取审计证据，为下列方面提供依据：（一）识别、评估财务报表层次和认定层次重大错报风险，无论该错报是舞弊导致的，还是错误导致的；（二）按照《中国注册会计师审计准则第</w:t>
      </w:r>
      <w:r>
        <w:rPr>
          <w:rFonts w:ascii="仿宋_GB2312" w:hAnsi="仿宋" w:eastAsia="仿宋_GB2312" w:cs="仿宋"/>
          <w:bCs/>
          <w:sz w:val="32"/>
          <w:szCs w:val="32"/>
          <w:lang w:bidi="ar"/>
        </w:rPr>
        <w:t>1231号——针对评估的重</w:t>
      </w:r>
      <w:r>
        <w:rPr>
          <w:rFonts w:hint="eastAsia" w:ascii="仿宋_GB2312" w:hAnsi="仿宋" w:eastAsia="仿宋_GB2312" w:cs="仿宋"/>
          <w:bCs/>
          <w:sz w:val="32"/>
          <w:szCs w:val="32"/>
          <w:lang w:bidi="ar"/>
        </w:rPr>
        <w:t>大错报风险采取的应对措施》的规定，设计进一步审计程序。注册会计师在设计和实施风险评估程序时，不应当偏向于获取佐证性的审计证据，也不应当排斥相矛盾的审计证据”、第十九条“</w:t>
      </w:r>
      <w:r>
        <w:rPr>
          <w:rFonts w:ascii="仿宋_GB2312" w:hAnsi="仿宋" w:eastAsia="仿宋_GB2312" w:cs="仿宋"/>
          <w:bCs/>
          <w:sz w:val="32"/>
          <w:szCs w:val="32"/>
          <w:lang w:bidi="ar"/>
        </w:rPr>
        <w:t>风险评估程序应当包括下列程序：</w:t>
      </w:r>
      <w:r>
        <w:rPr>
          <w:rFonts w:hint="eastAsia" w:ascii="仿宋_GB2312" w:hAnsi="仿宋" w:eastAsia="仿宋_GB2312" w:cs="仿宋"/>
          <w:bCs/>
          <w:sz w:val="32"/>
          <w:szCs w:val="32"/>
          <w:lang w:bidi="ar"/>
        </w:rPr>
        <w:t>（一）询问管理层和被审计单位内部其他合适人员，包括内部审计人员；（二）分析程序；（三）观察和检查”、第二十一条“注册会计师如果利用以前服务被审计单位的经验，或者利用以前审计时实施审计程序获取的信息，应当评价将这些经验和信息作为审计证据是否仍然相关和可靠”。</w:t>
      </w:r>
    </w:p>
    <w:p w14:paraId="24973C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ascii="仿宋_GB2312" w:hAnsi="仿宋" w:eastAsia="仿宋_GB2312" w:cs="仿宋"/>
          <w:bCs/>
          <w:sz w:val="32"/>
          <w:szCs w:val="32"/>
          <w:lang w:bidi="ar"/>
        </w:rPr>
        <w:t>(2)</w:t>
      </w:r>
      <w:r>
        <w:rPr>
          <w:rFonts w:hint="eastAsia" w:ascii="仿宋_GB2312" w:hAnsi="仿宋" w:eastAsia="仿宋_GB2312" w:cs="仿宋"/>
          <w:bCs/>
          <w:sz w:val="32"/>
          <w:szCs w:val="32"/>
          <w:lang w:bidi="ar"/>
        </w:rPr>
        <w:t>《中国注册会计师审计准则第1401号——对集团财务报表审计的特殊考虑》第七条“</w:t>
      </w:r>
      <w:r>
        <w:rPr>
          <w:rFonts w:ascii="仿宋_GB2312" w:hAnsi="仿宋" w:eastAsia="仿宋_GB2312" w:cs="仿宋"/>
          <w:bCs/>
          <w:sz w:val="32"/>
          <w:szCs w:val="32"/>
          <w:lang w:bidi="ar"/>
        </w:rPr>
        <w:t>……</w:t>
      </w:r>
      <w:r>
        <w:rPr>
          <w:rFonts w:hint="eastAsia" w:ascii="仿宋_GB2312" w:hAnsi="仿宋" w:eastAsia="仿宋_GB2312" w:cs="仿宋"/>
          <w:bCs/>
          <w:sz w:val="32"/>
          <w:szCs w:val="32"/>
          <w:lang w:bidi="ar"/>
        </w:rPr>
        <w:t>在集团审计中，审计风险包括组成部分注册会计师可能没有发现组成部分财务信息存在的错报（该错报导致集团财务报表发生重大错报）的风险，以及集团项目组可能没有发现该错报的风险。本准则规定了在组成部分注册会计师对组成部分财务信息实施风险评估程序和进一步审计程序时，集团项目组在确定参与组成部分注册会计师工作的性质、时间安排和范围时需要考虑的事项</w:t>
      </w:r>
      <w:r>
        <w:rPr>
          <w:rFonts w:ascii="仿宋_GB2312" w:hAnsi="仿宋" w:eastAsia="仿宋_GB2312" w:cs="仿宋"/>
          <w:bCs/>
          <w:sz w:val="32"/>
          <w:szCs w:val="32"/>
          <w:lang w:bidi="ar"/>
        </w:rPr>
        <w:t>……</w:t>
      </w:r>
      <w:r>
        <w:rPr>
          <w:rFonts w:hint="eastAsia" w:ascii="仿宋_GB2312" w:hAnsi="仿宋" w:eastAsia="仿宋_GB2312" w:cs="仿宋"/>
          <w:bCs/>
          <w:sz w:val="32"/>
          <w:szCs w:val="32"/>
          <w:lang w:bidi="ar"/>
        </w:rPr>
        <w:t>”、第四十三条“如果组成部分注册会计师对重要组成部分财务信息执行审计，集团项目组应当参与组成部分注册会计师实施的风险评估程序，以识别导致集团财务报表发生重大错报的特别风险</w:t>
      </w:r>
      <w:r>
        <w:rPr>
          <w:rFonts w:ascii="仿宋_GB2312" w:hAnsi="仿宋" w:eastAsia="仿宋_GB2312" w:cs="仿宋"/>
          <w:bCs/>
          <w:sz w:val="32"/>
          <w:szCs w:val="32"/>
          <w:lang w:bidi="ar"/>
        </w:rPr>
        <w:t>……</w:t>
      </w:r>
      <w:r>
        <w:rPr>
          <w:rFonts w:hint="eastAsia" w:ascii="仿宋_GB2312" w:hAnsi="仿宋" w:eastAsia="仿宋_GB2312" w:cs="仿宋"/>
          <w:bCs/>
          <w:sz w:val="32"/>
          <w:szCs w:val="32"/>
          <w:lang w:bidi="ar"/>
        </w:rPr>
        <w:t>”。</w:t>
      </w:r>
    </w:p>
    <w:p w14:paraId="4E6521B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楷体_GB2312" w:hAnsi="黑体" w:eastAsia="楷体_GB2312" w:cs="仿宋"/>
          <w:b/>
          <w:bCs/>
          <w:sz w:val="32"/>
          <w:szCs w:val="32"/>
          <w:lang w:bidi="ar"/>
        </w:rPr>
      </w:pPr>
      <w:r>
        <w:rPr>
          <w:rFonts w:hint="eastAsia" w:ascii="楷体_GB2312" w:hAnsi="黑体" w:eastAsia="楷体_GB2312" w:cs="仿宋"/>
          <w:b/>
          <w:bCs/>
          <w:sz w:val="32"/>
          <w:szCs w:val="32"/>
          <w:lang w:bidi="ar"/>
        </w:rPr>
        <w:t>（四）重要性水平确定</w:t>
      </w:r>
    </w:p>
    <w:p w14:paraId="7AC0C38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 w:eastAsia="仿宋_GB2312" w:cs="仿宋"/>
          <w:b/>
          <w:bCs/>
          <w:sz w:val="32"/>
          <w:szCs w:val="32"/>
          <w:lang w:bidi="ar"/>
        </w:rPr>
      </w:pPr>
      <w:r>
        <w:rPr>
          <w:rFonts w:hint="eastAsia" w:ascii="仿宋_GB2312" w:hAnsi="仿宋" w:eastAsia="仿宋_GB2312" w:cs="仿宋"/>
          <w:b/>
          <w:bCs/>
          <w:sz w:val="32"/>
          <w:szCs w:val="32"/>
          <w:lang w:bidi="ar"/>
        </w:rPr>
        <w:t>1.主要问题</w:t>
      </w:r>
    </w:p>
    <w:p w14:paraId="77EA0C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ascii="仿宋_GB2312" w:hAnsi="仿宋" w:eastAsia="仿宋_GB2312" w:cs="仿宋"/>
          <w:bCs/>
          <w:sz w:val="32"/>
          <w:szCs w:val="32"/>
          <w:lang w:bidi="ar"/>
        </w:rPr>
        <w:t>(1)</w:t>
      </w:r>
      <w:r>
        <w:rPr>
          <w:rFonts w:hint="eastAsia" w:ascii="仿宋_GB2312" w:hAnsi="仿宋" w:eastAsia="仿宋_GB2312" w:cs="仿宋"/>
          <w:bCs/>
          <w:sz w:val="32"/>
          <w:szCs w:val="32"/>
          <w:lang w:bidi="ar"/>
        </w:rPr>
        <w:t>仅确定财务报表整体重要性水平的基准和比例，未确定具体金额；未确定实际执行的重要性水平及明显微小错报的临界值。</w:t>
      </w:r>
    </w:p>
    <w:p w14:paraId="4CF4A4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ascii="仿宋_GB2312" w:hAnsi="仿宋" w:eastAsia="仿宋_GB2312" w:cs="仿宋"/>
          <w:bCs/>
          <w:sz w:val="32"/>
          <w:szCs w:val="32"/>
          <w:lang w:bidi="ar"/>
        </w:rPr>
        <w:t>(2)</w:t>
      </w:r>
      <w:r>
        <w:rPr>
          <w:rFonts w:hint="eastAsia" w:ascii="仿宋_GB2312" w:hAnsi="仿宋" w:eastAsia="仿宋_GB2312" w:cs="仿宋"/>
          <w:bCs/>
          <w:sz w:val="32"/>
          <w:szCs w:val="32"/>
          <w:lang w:bidi="ar"/>
        </w:rPr>
        <w:t>部分注册会计师选择了较大的基准和比例，确定了较大数值的重要性水平，比如以资产总额、营业收入、利润总额三者数值最大</w:t>
      </w:r>
      <w:r>
        <w:rPr>
          <w:rFonts w:ascii="仿宋_GB2312" w:hAnsi="仿宋" w:eastAsia="仿宋_GB2312" w:cs="仿宋"/>
          <w:bCs/>
          <w:sz w:val="32"/>
          <w:szCs w:val="32"/>
          <w:lang w:bidi="ar"/>
        </w:rPr>
        <w:t>的项目</w:t>
      </w:r>
      <w:r>
        <w:rPr>
          <w:rFonts w:hint="eastAsia" w:ascii="仿宋_GB2312" w:hAnsi="仿宋" w:eastAsia="仿宋_GB2312" w:cs="仿宋"/>
          <w:bCs/>
          <w:sz w:val="32"/>
          <w:szCs w:val="32"/>
          <w:lang w:bidi="ar"/>
        </w:rPr>
        <w:t>作为基准，选择较大比例（如资产总额的</w:t>
      </w:r>
      <w:r>
        <w:rPr>
          <w:rFonts w:ascii="仿宋_GB2312" w:hAnsi="仿宋" w:eastAsia="仿宋_GB2312" w:cs="仿宋"/>
          <w:bCs/>
          <w:sz w:val="32"/>
          <w:szCs w:val="32"/>
          <w:lang w:bidi="ar"/>
        </w:rPr>
        <w:t>5%、营业收入的2%、利润总额的10%），</w:t>
      </w:r>
      <w:r>
        <w:rPr>
          <w:rFonts w:hint="eastAsia" w:ascii="仿宋_GB2312" w:hAnsi="仿宋" w:eastAsia="仿宋_GB2312" w:cs="仿宋"/>
          <w:bCs/>
          <w:sz w:val="32"/>
          <w:szCs w:val="32"/>
          <w:lang w:bidi="ar"/>
        </w:rPr>
        <w:t>确定</w:t>
      </w:r>
      <w:r>
        <w:rPr>
          <w:rFonts w:ascii="仿宋_GB2312" w:hAnsi="仿宋" w:eastAsia="仿宋_GB2312" w:cs="仿宋"/>
          <w:bCs/>
          <w:sz w:val="32"/>
          <w:szCs w:val="32"/>
          <w:lang w:bidi="ar"/>
        </w:rPr>
        <w:t>的</w:t>
      </w:r>
      <w:r>
        <w:rPr>
          <w:rFonts w:hint="eastAsia" w:ascii="仿宋_GB2312" w:hAnsi="仿宋" w:eastAsia="仿宋_GB2312" w:cs="仿宋"/>
          <w:bCs/>
          <w:sz w:val="32"/>
          <w:szCs w:val="32"/>
          <w:lang w:bidi="ar"/>
        </w:rPr>
        <w:t>重要性</w:t>
      </w:r>
      <w:r>
        <w:rPr>
          <w:rFonts w:ascii="仿宋_GB2312" w:hAnsi="仿宋" w:eastAsia="仿宋_GB2312" w:cs="仿宋"/>
          <w:bCs/>
          <w:sz w:val="32"/>
          <w:szCs w:val="32"/>
          <w:lang w:bidi="ar"/>
        </w:rPr>
        <w:t>水平金额较</w:t>
      </w:r>
      <w:r>
        <w:rPr>
          <w:rFonts w:hint="eastAsia" w:ascii="仿宋_GB2312" w:hAnsi="仿宋" w:eastAsia="仿宋_GB2312" w:cs="仿宋"/>
          <w:bCs/>
          <w:sz w:val="32"/>
          <w:szCs w:val="32"/>
          <w:lang w:bidi="ar"/>
        </w:rPr>
        <w:t>高。</w:t>
      </w:r>
      <w:r>
        <w:rPr>
          <w:rFonts w:ascii="仿宋_GB2312" w:hAnsi="仿宋" w:eastAsia="仿宋_GB2312" w:cs="仿宋"/>
          <w:bCs/>
          <w:sz w:val="32"/>
          <w:szCs w:val="32"/>
          <w:lang w:bidi="ar"/>
        </w:rPr>
        <w:t>实务中</w:t>
      </w:r>
      <w:r>
        <w:rPr>
          <w:rFonts w:hint="eastAsia" w:ascii="仿宋_GB2312" w:hAnsi="仿宋" w:eastAsia="仿宋_GB2312" w:cs="仿宋"/>
          <w:bCs/>
          <w:sz w:val="32"/>
          <w:szCs w:val="32"/>
          <w:lang w:bidi="ar"/>
        </w:rPr>
        <w:t>,重要性水平的金额如何</w:t>
      </w:r>
      <w:r>
        <w:rPr>
          <w:rFonts w:ascii="仿宋_GB2312" w:hAnsi="仿宋" w:eastAsia="仿宋_GB2312" w:cs="仿宋"/>
          <w:bCs/>
          <w:sz w:val="32"/>
          <w:szCs w:val="32"/>
          <w:lang w:bidi="ar"/>
        </w:rPr>
        <w:t>确定，以及</w:t>
      </w:r>
      <w:r>
        <w:rPr>
          <w:rFonts w:hint="eastAsia" w:ascii="仿宋_GB2312" w:hAnsi="仿宋" w:eastAsia="仿宋_GB2312" w:cs="仿宋"/>
          <w:bCs/>
          <w:sz w:val="32"/>
          <w:szCs w:val="32"/>
          <w:lang w:bidi="ar"/>
        </w:rPr>
        <w:t>确定</w:t>
      </w:r>
      <w:r>
        <w:rPr>
          <w:rFonts w:ascii="仿宋_GB2312" w:hAnsi="仿宋" w:eastAsia="仿宋_GB2312" w:cs="仿宋"/>
          <w:bCs/>
          <w:sz w:val="32"/>
          <w:szCs w:val="32"/>
          <w:lang w:bidi="ar"/>
        </w:rPr>
        <w:t>为</w:t>
      </w:r>
      <w:r>
        <w:rPr>
          <w:rFonts w:hint="eastAsia" w:ascii="仿宋_GB2312" w:hAnsi="仿宋" w:eastAsia="仿宋_GB2312" w:cs="仿宋"/>
          <w:bCs/>
          <w:sz w:val="32"/>
          <w:szCs w:val="32"/>
          <w:lang w:bidi="ar"/>
        </w:rPr>
        <w:t>多少才算是恰当的。</w:t>
      </w:r>
    </w:p>
    <w:p w14:paraId="10ADE9A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 w:eastAsia="仿宋_GB2312" w:cs="仿宋"/>
          <w:b/>
          <w:bCs/>
          <w:sz w:val="32"/>
          <w:szCs w:val="32"/>
          <w:lang w:bidi="ar"/>
        </w:rPr>
      </w:pPr>
      <w:r>
        <w:rPr>
          <w:rFonts w:hint="eastAsia" w:ascii="仿宋_GB2312" w:hAnsi="仿宋" w:eastAsia="仿宋_GB2312" w:cs="仿宋"/>
          <w:b/>
          <w:bCs/>
          <w:sz w:val="32"/>
          <w:szCs w:val="32"/>
          <w:lang w:bidi="ar"/>
        </w:rPr>
        <w:t>2.指导意见</w:t>
      </w:r>
    </w:p>
    <w:p w14:paraId="650BAE1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ascii="仿宋_GB2312" w:hAnsi="仿宋" w:eastAsia="仿宋_GB2312" w:cs="仿宋"/>
          <w:bCs/>
          <w:sz w:val="32"/>
          <w:szCs w:val="32"/>
          <w:lang w:bidi="ar"/>
        </w:rPr>
        <w:t>(1)</w:t>
      </w:r>
      <w:r>
        <w:rPr>
          <w:rFonts w:hint="eastAsia" w:ascii="仿宋_GB2312" w:hAnsi="仿宋" w:eastAsia="仿宋_GB2312" w:cs="仿宋"/>
          <w:bCs/>
          <w:sz w:val="32"/>
          <w:szCs w:val="32"/>
          <w:lang w:bidi="ar"/>
        </w:rPr>
        <w:t>注册会计师应当在计划和执行审计工作时恰当地运用重要性概念，正确确定财务报表整体的重要性水平及实际执行的重要性水平、明显微小错报的临界值。</w:t>
      </w:r>
    </w:p>
    <w:p w14:paraId="4EE17F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ascii="仿宋_GB2312" w:hAnsi="仿宋" w:eastAsia="仿宋_GB2312" w:cs="仿宋"/>
          <w:bCs/>
          <w:sz w:val="32"/>
          <w:szCs w:val="32"/>
          <w:lang w:bidi="ar"/>
        </w:rPr>
        <w:t>(2)</w:t>
      </w:r>
      <w:r>
        <w:rPr>
          <w:rFonts w:hint="eastAsia" w:ascii="仿宋_GB2312" w:hAnsi="仿宋" w:eastAsia="仿宋_GB2312" w:cs="仿宋"/>
          <w:bCs/>
          <w:sz w:val="32"/>
          <w:szCs w:val="32"/>
          <w:lang w:bidi="ar"/>
        </w:rPr>
        <w:t>审计准则和应用</w:t>
      </w:r>
      <w:r>
        <w:rPr>
          <w:rFonts w:ascii="仿宋_GB2312" w:hAnsi="仿宋" w:eastAsia="仿宋_GB2312" w:cs="仿宋"/>
          <w:bCs/>
          <w:sz w:val="32"/>
          <w:szCs w:val="32"/>
          <w:lang w:bidi="ar"/>
        </w:rPr>
        <w:t>指南</w:t>
      </w:r>
      <w:r>
        <w:rPr>
          <w:rFonts w:hint="eastAsia" w:ascii="仿宋_GB2312" w:hAnsi="仿宋" w:eastAsia="仿宋_GB2312" w:cs="仿宋"/>
          <w:bCs/>
          <w:sz w:val="32"/>
          <w:szCs w:val="32"/>
          <w:lang w:bidi="ar"/>
        </w:rPr>
        <w:t>对</w:t>
      </w:r>
      <w:r>
        <w:rPr>
          <w:rFonts w:ascii="仿宋_GB2312" w:hAnsi="仿宋" w:eastAsia="仿宋_GB2312" w:cs="仿宋"/>
          <w:bCs/>
          <w:sz w:val="32"/>
          <w:szCs w:val="32"/>
          <w:lang w:bidi="ar"/>
        </w:rPr>
        <w:t>重要性水平的金额</w:t>
      </w:r>
      <w:r>
        <w:rPr>
          <w:rFonts w:hint="eastAsia" w:ascii="仿宋_GB2312" w:hAnsi="仿宋" w:eastAsia="仿宋_GB2312" w:cs="仿宋"/>
          <w:bCs/>
          <w:sz w:val="32"/>
          <w:szCs w:val="32"/>
          <w:lang w:bidi="ar"/>
        </w:rPr>
        <w:t>确定</w:t>
      </w:r>
      <w:r>
        <w:rPr>
          <w:rFonts w:ascii="仿宋_GB2312" w:hAnsi="仿宋" w:eastAsia="仿宋_GB2312" w:cs="仿宋"/>
          <w:bCs/>
          <w:sz w:val="32"/>
          <w:szCs w:val="32"/>
          <w:lang w:bidi="ar"/>
        </w:rPr>
        <w:t>为</w:t>
      </w:r>
      <w:r>
        <w:rPr>
          <w:rFonts w:hint="eastAsia" w:ascii="仿宋_GB2312" w:hAnsi="仿宋" w:eastAsia="仿宋_GB2312" w:cs="仿宋"/>
          <w:bCs/>
          <w:sz w:val="32"/>
          <w:szCs w:val="32"/>
          <w:lang w:bidi="ar"/>
        </w:rPr>
        <w:t>多少合适，</w:t>
      </w:r>
      <w:r>
        <w:rPr>
          <w:rFonts w:ascii="仿宋_GB2312" w:hAnsi="仿宋" w:eastAsia="仿宋_GB2312" w:cs="仿宋"/>
          <w:bCs/>
          <w:sz w:val="32"/>
          <w:szCs w:val="32"/>
          <w:lang w:bidi="ar"/>
        </w:rPr>
        <w:t>没有约束性规定</w:t>
      </w:r>
      <w:r>
        <w:rPr>
          <w:rFonts w:hint="eastAsia" w:ascii="仿宋_GB2312" w:hAnsi="仿宋" w:eastAsia="仿宋_GB2312" w:cs="仿宋"/>
          <w:bCs/>
          <w:sz w:val="32"/>
          <w:szCs w:val="32"/>
          <w:lang w:bidi="ar"/>
        </w:rPr>
        <w:t>，</w:t>
      </w:r>
      <w:r>
        <w:rPr>
          <w:rFonts w:ascii="仿宋_GB2312" w:hAnsi="仿宋" w:eastAsia="仿宋_GB2312" w:cs="仿宋"/>
          <w:bCs/>
          <w:sz w:val="32"/>
          <w:szCs w:val="32"/>
          <w:lang w:bidi="ar"/>
        </w:rPr>
        <w:t>只是强调了“合理性”的要求。</w:t>
      </w:r>
      <w:r>
        <w:rPr>
          <w:rFonts w:hint="eastAsia" w:ascii="仿宋_GB2312" w:hAnsi="仿宋" w:eastAsia="仿宋_GB2312" w:cs="仿宋"/>
          <w:bCs/>
          <w:sz w:val="32"/>
          <w:szCs w:val="32"/>
          <w:lang w:bidi="ar"/>
        </w:rPr>
        <w:t>问题</w:t>
      </w:r>
      <w:r>
        <w:rPr>
          <w:rFonts w:ascii="仿宋_GB2312" w:hAnsi="仿宋" w:eastAsia="仿宋_GB2312" w:cs="仿宋"/>
          <w:bCs/>
          <w:sz w:val="32"/>
          <w:szCs w:val="32"/>
          <w:lang w:bidi="ar"/>
        </w:rPr>
        <w:t>解答给出了参考基准和百分</w:t>
      </w:r>
      <w:r>
        <w:rPr>
          <w:rFonts w:hint="eastAsia" w:ascii="仿宋_GB2312" w:hAnsi="仿宋" w:eastAsia="仿宋_GB2312" w:cs="仿宋"/>
          <w:bCs/>
          <w:sz w:val="32"/>
          <w:szCs w:val="32"/>
          <w:lang w:bidi="ar"/>
        </w:rPr>
        <w:t>比</w:t>
      </w:r>
      <w:r>
        <w:rPr>
          <w:rFonts w:ascii="仿宋_GB2312" w:hAnsi="仿宋" w:eastAsia="仿宋_GB2312" w:cs="仿宋"/>
          <w:bCs/>
          <w:sz w:val="32"/>
          <w:szCs w:val="32"/>
          <w:lang w:bidi="ar"/>
        </w:rPr>
        <w:t>，但并非规定。注册会计师应综合考虑被审计单位的性质、内部控制与审计风险的评估结果、经营规模和业务范围、管理层及外部考核指标、错报漏报的性质、会计报表使用人重点</w:t>
      </w:r>
      <w:r>
        <w:rPr>
          <w:rFonts w:hint="eastAsia" w:ascii="仿宋_GB2312" w:hAnsi="仿宋" w:eastAsia="仿宋_GB2312" w:cs="仿宋"/>
          <w:bCs/>
          <w:sz w:val="32"/>
          <w:szCs w:val="32"/>
          <w:lang w:bidi="ar"/>
        </w:rPr>
        <w:t>关注</w:t>
      </w:r>
      <w:r>
        <w:rPr>
          <w:rFonts w:ascii="仿宋_GB2312" w:hAnsi="仿宋" w:eastAsia="仿宋_GB2312" w:cs="仿宋"/>
          <w:bCs/>
          <w:sz w:val="32"/>
          <w:szCs w:val="32"/>
          <w:lang w:bidi="ar"/>
        </w:rPr>
        <w:t>的内容等因素，合理运用自身职业判断对重要性水平</w:t>
      </w:r>
      <w:r>
        <w:rPr>
          <w:rFonts w:hint="eastAsia" w:ascii="仿宋_GB2312" w:hAnsi="仿宋" w:eastAsia="仿宋_GB2312" w:cs="仿宋"/>
          <w:bCs/>
          <w:sz w:val="32"/>
          <w:szCs w:val="32"/>
          <w:lang w:bidi="ar"/>
        </w:rPr>
        <w:t>进行</w:t>
      </w:r>
      <w:r>
        <w:rPr>
          <w:rFonts w:ascii="仿宋_GB2312" w:hAnsi="仿宋" w:eastAsia="仿宋_GB2312" w:cs="仿宋"/>
          <w:bCs/>
          <w:sz w:val="32"/>
          <w:szCs w:val="32"/>
          <w:lang w:bidi="ar"/>
        </w:rPr>
        <w:t>设定，并根据业务实施进程做出修订</w:t>
      </w:r>
      <w:r>
        <w:rPr>
          <w:rFonts w:hint="eastAsia" w:ascii="仿宋_GB2312" w:hAnsi="仿宋" w:eastAsia="仿宋_GB2312" w:cs="仿宋"/>
          <w:bCs/>
          <w:sz w:val="32"/>
          <w:szCs w:val="32"/>
          <w:lang w:bidi="ar"/>
        </w:rPr>
        <w:t>，</w:t>
      </w:r>
      <w:r>
        <w:rPr>
          <w:rFonts w:ascii="仿宋_GB2312" w:hAnsi="仿宋" w:eastAsia="仿宋_GB2312" w:cs="仿宋"/>
          <w:bCs/>
          <w:sz w:val="32"/>
          <w:szCs w:val="32"/>
          <w:lang w:bidi="ar"/>
        </w:rPr>
        <w:t>以满足降低审计风险，支持发表合理审计</w:t>
      </w:r>
      <w:r>
        <w:rPr>
          <w:rFonts w:hint="eastAsia" w:ascii="仿宋_GB2312" w:hAnsi="仿宋" w:eastAsia="仿宋_GB2312" w:cs="仿宋"/>
          <w:bCs/>
          <w:sz w:val="32"/>
          <w:szCs w:val="32"/>
          <w:lang w:bidi="ar"/>
        </w:rPr>
        <w:t>意见的目的。</w:t>
      </w:r>
    </w:p>
    <w:p w14:paraId="0C23580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 w:eastAsia="仿宋_GB2312" w:cs="仿宋"/>
          <w:b/>
          <w:bCs/>
          <w:sz w:val="32"/>
          <w:szCs w:val="32"/>
          <w:lang w:bidi="ar"/>
        </w:rPr>
      </w:pPr>
      <w:r>
        <w:rPr>
          <w:rFonts w:hint="eastAsia" w:ascii="仿宋_GB2312" w:hAnsi="仿宋" w:eastAsia="仿宋_GB2312" w:cs="仿宋"/>
          <w:b/>
          <w:bCs/>
          <w:sz w:val="32"/>
          <w:szCs w:val="32"/>
          <w:lang w:bidi="ar"/>
        </w:rPr>
        <w:t>3.参考依据</w:t>
      </w:r>
    </w:p>
    <w:p w14:paraId="42F558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ascii="仿宋_GB2312" w:hAnsi="仿宋" w:eastAsia="仿宋_GB2312" w:cs="仿宋"/>
          <w:bCs/>
          <w:sz w:val="32"/>
          <w:szCs w:val="32"/>
          <w:lang w:bidi="ar"/>
        </w:rPr>
        <w:t>(1)</w:t>
      </w:r>
      <w:r>
        <w:rPr>
          <w:rFonts w:hint="eastAsia" w:ascii="仿宋_GB2312" w:hAnsi="仿宋" w:eastAsia="仿宋_GB2312" w:cs="仿宋"/>
          <w:bCs/>
          <w:sz w:val="32"/>
          <w:szCs w:val="32"/>
          <w:lang w:bidi="ar"/>
        </w:rPr>
        <w:t>《中国注册会计师审计准则第1221号——计划和执行审计工作时的重要性》第七条“</w:t>
      </w:r>
      <w:r>
        <w:rPr>
          <w:rFonts w:ascii="仿宋_GB2312" w:hAnsi="仿宋" w:eastAsia="仿宋_GB2312" w:cs="仿宋"/>
          <w:bCs/>
          <w:sz w:val="32"/>
          <w:szCs w:val="32"/>
          <w:lang w:bidi="ar"/>
        </w:rPr>
        <w:t>……</w:t>
      </w:r>
      <w:r>
        <w:rPr>
          <w:rFonts w:hint="eastAsia" w:ascii="仿宋_GB2312" w:hAnsi="仿宋" w:eastAsia="仿宋_GB2312" w:cs="仿宋"/>
          <w:bCs/>
          <w:sz w:val="32"/>
          <w:szCs w:val="32"/>
          <w:lang w:bidi="ar"/>
        </w:rPr>
        <w:t>在计划审计工作时确定的重要性（即</w:t>
      </w:r>
      <w:r>
        <w:rPr>
          <w:rFonts w:hint="eastAsia" w:ascii="仿宋_GB2312" w:hAnsi="仿宋" w:eastAsia="仿宋_GB2312" w:cs="仿宋"/>
          <w:sz w:val="32"/>
          <w:szCs w:val="32"/>
          <w:lang w:bidi="ar"/>
        </w:rPr>
        <w:t>确定的某一金额</w:t>
      </w:r>
      <w:r>
        <w:rPr>
          <w:rFonts w:hint="eastAsia" w:ascii="仿宋_GB2312" w:hAnsi="仿宋" w:eastAsia="仿宋_GB2312" w:cs="仿宋"/>
          <w:bCs/>
          <w:sz w:val="32"/>
          <w:szCs w:val="32"/>
          <w:lang w:bidi="ar"/>
        </w:rPr>
        <w:t>）</w:t>
      </w:r>
      <w:r>
        <w:rPr>
          <w:rFonts w:ascii="仿宋_GB2312" w:hAnsi="仿宋" w:eastAsia="仿宋_GB2312" w:cs="仿宋"/>
          <w:bCs/>
          <w:sz w:val="32"/>
          <w:szCs w:val="32"/>
          <w:lang w:bidi="ar"/>
        </w:rPr>
        <w:t>……</w:t>
      </w:r>
      <w:r>
        <w:rPr>
          <w:rFonts w:hint="eastAsia" w:ascii="仿宋_GB2312" w:hAnsi="仿宋" w:eastAsia="仿宋_GB2312" w:cs="仿宋"/>
          <w:bCs/>
          <w:sz w:val="32"/>
          <w:szCs w:val="32"/>
          <w:lang w:bidi="ar"/>
        </w:rPr>
        <w:t>”、第八条“实际执行的重要性，是指注册会计师确定的低于财务报表整体的重要性的</w:t>
      </w:r>
      <w:r>
        <w:rPr>
          <w:rFonts w:hint="eastAsia" w:ascii="仿宋_GB2312" w:hAnsi="仿宋" w:eastAsia="仿宋_GB2312" w:cs="仿宋"/>
          <w:sz w:val="32"/>
          <w:szCs w:val="32"/>
          <w:lang w:bidi="ar"/>
        </w:rPr>
        <w:t>一个或多个金额</w:t>
      </w:r>
      <w:r>
        <w:rPr>
          <w:rFonts w:hint="eastAsia" w:ascii="仿宋_GB2312" w:hAnsi="仿宋" w:eastAsia="仿宋_GB2312" w:cs="仿宋"/>
          <w:bCs/>
          <w:sz w:val="32"/>
          <w:szCs w:val="32"/>
          <w:lang w:bidi="ar"/>
        </w:rPr>
        <w:t>，旨在将未更正和未发现错报的汇总数超过财务报表整体的重要性的可能性降至适当的低水平。如果适用，实际执行的重要性还指注册会计师确定的低于特定类别的交易、账户余额或披露的重要性水平的一个或多个金额”、第九条“注册会计师的目标是，在计划和执行审计工作时恰当地运用重要性概念”、第十条“在制定总体审计策略时，注册会计师应当确定财务报表整体的重要性”、第十一条“注册会计师应当确定实际执行的重要性，以评估重大错报风险并确定进一步审计程序的性质、时间安排和范围”、第十四条“注册会计师应当在审计工作底稿中记录下列金额以及在确定这些金额时考虑的因素：</w:t>
      </w:r>
      <w:r>
        <w:rPr>
          <w:rFonts w:ascii="仿宋_GB2312" w:hAnsi="仿宋" w:eastAsia="仿宋_GB2312" w:cs="仿宋"/>
          <w:bCs/>
          <w:sz w:val="32"/>
          <w:szCs w:val="32"/>
          <w:lang w:bidi="ar"/>
        </w:rPr>
        <w:t>……</w:t>
      </w:r>
      <w:r>
        <w:rPr>
          <w:rFonts w:hint="eastAsia" w:ascii="仿宋_GB2312" w:hAnsi="仿宋" w:eastAsia="仿宋_GB2312" w:cs="仿宋"/>
          <w:bCs/>
          <w:sz w:val="32"/>
          <w:szCs w:val="32"/>
          <w:lang w:bidi="ar"/>
        </w:rPr>
        <w:t>”。</w:t>
      </w:r>
    </w:p>
    <w:p w14:paraId="4C2898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ascii="仿宋_GB2312" w:hAnsi="仿宋" w:eastAsia="仿宋_GB2312" w:cs="仿宋"/>
          <w:bCs/>
          <w:sz w:val="32"/>
          <w:szCs w:val="32"/>
          <w:lang w:bidi="ar"/>
        </w:rPr>
        <w:t>(2)</w:t>
      </w:r>
      <w:r>
        <w:rPr>
          <w:rFonts w:hint="eastAsia" w:ascii="仿宋_GB2312" w:hAnsi="仿宋" w:eastAsia="仿宋_GB2312" w:cs="仿宋"/>
          <w:bCs/>
          <w:sz w:val="32"/>
          <w:szCs w:val="32"/>
          <w:lang w:bidi="ar"/>
        </w:rPr>
        <w:t>《中国注册会计师审计准则第1251号——评价审计过程中识别出的错报》第六条“注册会计师应当累积审计过程中识别出的错报，除非错报明显微小”、第十二条“注册会计师应当确定未更正错报单独或汇总起来是否重大。在确定时，注册会计师应当考虑：（一）相对特定类别的交易、账户余额或披露以及财务报表整体而言，错报的金额和性质以及错报发生的特定环境；（二）与以前期间相关的未更正错报对有关类别的交易、账户余额或披露以及财务报表整体的影响”、第十六条“注册会计师应当就下列事项形成审计工作底稿：（一）设定的</w:t>
      </w:r>
      <w:r>
        <w:rPr>
          <w:rFonts w:hint="eastAsia" w:ascii="仿宋_GB2312" w:hAnsi="仿宋" w:eastAsia="仿宋_GB2312" w:cs="仿宋"/>
          <w:sz w:val="32"/>
          <w:szCs w:val="32"/>
          <w:lang w:bidi="ar"/>
        </w:rPr>
        <w:t>某一金额</w:t>
      </w:r>
      <w:r>
        <w:rPr>
          <w:rFonts w:hint="eastAsia" w:ascii="仿宋_GB2312" w:hAnsi="仿宋" w:eastAsia="仿宋_GB2312" w:cs="仿宋"/>
          <w:bCs/>
          <w:sz w:val="32"/>
          <w:szCs w:val="32"/>
          <w:lang w:bidi="ar"/>
        </w:rPr>
        <w:t>，低于该金额的错报视为明显微小</w:t>
      </w:r>
      <w:r>
        <w:rPr>
          <w:rFonts w:ascii="仿宋_GB2312" w:hAnsi="仿宋" w:eastAsia="仿宋_GB2312" w:cs="仿宋"/>
          <w:bCs/>
          <w:sz w:val="32"/>
          <w:szCs w:val="32"/>
          <w:lang w:bidi="ar"/>
        </w:rPr>
        <w:t>……</w:t>
      </w:r>
      <w:r>
        <w:rPr>
          <w:rFonts w:hint="eastAsia" w:ascii="仿宋_GB2312" w:hAnsi="仿宋" w:eastAsia="仿宋_GB2312" w:cs="仿宋"/>
          <w:bCs/>
          <w:sz w:val="32"/>
          <w:szCs w:val="32"/>
          <w:lang w:bidi="ar"/>
        </w:rPr>
        <w:t>”。</w:t>
      </w:r>
    </w:p>
    <w:p w14:paraId="417682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ascii="仿宋_GB2312" w:hAnsi="仿宋" w:eastAsia="仿宋_GB2312" w:cs="仿宋"/>
          <w:bCs/>
          <w:sz w:val="32"/>
          <w:szCs w:val="32"/>
          <w:lang w:bidi="ar"/>
        </w:rPr>
        <w:t>(3)</w:t>
      </w:r>
      <w:r>
        <w:rPr>
          <w:rFonts w:hint="eastAsia" w:ascii="仿宋_GB2312" w:hAnsi="仿宋" w:eastAsia="仿宋_GB2312" w:cs="仿宋"/>
          <w:bCs/>
          <w:sz w:val="32"/>
          <w:szCs w:val="32"/>
          <w:lang w:bidi="ar"/>
        </w:rPr>
        <w:t>《中国注册会计师审计准则问题解答第</w:t>
      </w:r>
      <w:r>
        <w:rPr>
          <w:rFonts w:ascii="仿宋_GB2312" w:hAnsi="仿宋" w:eastAsia="仿宋_GB2312" w:cs="仿宋"/>
          <w:bCs/>
          <w:sz w:val="32"/>
          <w:szCs w:val="32"/>
          <w:lang w:bidi="ar"/>
        </w:rPr>
        <w:t>8号——重要性及评价错报》“本问题解答中包含的基准和百分比均为举例，并非规定。注册会计师需要根据被审计单位和审计业务的具体情况，运用职业判断作出适当的选择和调整”</w:t>
      </w:r>
      <w:r>
        <w:rPr>
          <w:rFonts w:hint="eastAsia" w:ascii="仿宋_GB2312" w:hAnsi="仿宋" w:eastAsia="仿宋_GB2312" w:cs="仿宋"/>
          <w:bCs/>
          <w:sz w:val="32"/>
          <w:szCs w:val="32"/>
          <w:lang w:bidi="ar"/>
        </w:rPr>
        <w:t>、</w:t>
      </w:r>
      <w:r>
        <w:rPr>
          <w:rFonts w:ascii="仿宋_GB2312" w:hAnsi="仿宋" w:eastAsia="仿宋_GB2312" w:cs="仿宋"/>
          <w:bCs/>
          <w:sz w:val="32"/>
          <w:szCs w:val="32"/>
          <w:lang w:bidi="ar"/>
        </w:rPr>
        <w:t>“</w:t>
      </w:r>
      <w:r>
        <w:rPr>
          <w:rFonts w:hint="eastAsia" w:ascii="仿宋_GB2312" w:hAnsi="仿宋" w:eastAsia="仿宋_GB2312" w:cs="仿宋"/>
          <w:bCs/>
          <w:sz w:val="32"/>
          <w:szCs w:val="32"/>
          <w:lang w:bidi="ar"/>
        </w:rPr>
        <w:t>注册会计师应当在审计工作底稿中充分记录在选定基准和百分比时所考虑的因素，作为支持其作出的职业判断的依据</w:t>
      </w:r>
      <w:r>
        <w:rPr>
          <w:rFonts w:ascii="仿宋_GB2312" w:hAnsi="仿宋" w:eastAsia="仿宋_GB2312" w:cs="仿宋"/>
          <w:bCs/>
          <w:sz w:val="32"/>
          <w:szCs w:val="32"/>
          <w:lang w:bidi="ar"/>
        </w:rPr>
        <w:t>”</w:t>
      </w:r>
      <w:r>
        <w:rPr>
          <w:rFonts w:hint="eastAsia" w:ascii="仿宋_GB2312" w:hAnsi="仿宋" w:eastAsia="仿宋_GB2312" w:cs="仿宋"/>
          <w:bCs/>
          <w:sz w:val="32"/>
          <w:szCs w:val="32"/>
          <w:lang w:bidi="ar"/>
        </w:rPr>
        <w:t>。</w:t>
      </w:r>
    </w:p>
    <w:p w14:paraId="6795C6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ascii="仿宋_GB2312" w:hAnsi="仿宋" w:eastAsia="仿宋_GB2312" w:cs="仿宋"/>
          <w:bCs/>
          <w:sz w:val="32"/>
          <w:szCs w:val="32"/>
          <w:lang w:bidi="ar"/>
        </w:rPr>
        <w:t>(4)</w:t>
      </w:r>
      <w:r>
        <w:rPr>
          <w:rFonts w:hint="eastAsia" w:ascii="仿宋_GB2312" w:hAnsi="仿宋" w:eastAsia="仿宋_GB2312" w:cs="仿宋"/>
          <w:bCs/>
          <w:sz w:val="32"/>
          <w:szCs w:val="32"/>
          <w:lang w:bidi="ar"/>
        </w:rPr>
        <w:t>参考</w:t>
      </w:r>
      <w:r>
        <w:rPr>
          <w:rFonts w:ascii="仿宋_GB2312" w:hAnsi="仿宋" w:eastAsia="仿宋_GB2312" w:cs="仿宋"/>
          <w:bCs/>
          <w:sz w:val="32"/>
          <w:szCs w:val="32"/>
          <w:lang w:bidi="ar"/>
        </w:rPr>
        <w:t>案例：2024年8月12日，</w:t>
      </w:r>
      <w:bookmarkStart w:id="3" w:name="OLE_LINK3"/>
      <w:r>
        <w:rPr>
          <w:rFonts w:hint="eastAsia" w:ascii="仿宋_GB2312" w:hAnsi="仿宋" w:eastAsia="仿宋_GB2312" w:cs="仿宋"/>
          <w:bCs/>
          <w:sz w:val="32"/>
          <w:szCs w:val="32"/>
          <w:lang w:bidi="ar"/>
        </w:rPr>
        <w:t>X</w:t>
      </w:r>
      <w:r>
        <w:rPr>
          <w:rFonts w:ascii="仿宋_GB2312" w:hAnsi="仿宋" w:eastAsia="仿宋_GB2312" w:cs="仿宋"/>
          <w:bCs/>
          <w:sz w:val="32"/>
          <w:szCs w:val="32"/>
          <w:lang w:bidi="ar"/>
        </w:rPr>
        <w:t>X</w:t>
      </w:r>
      <w:bookmarkEnd w:id="3"/>
      <w:r>
        <w:rPr>
          <w:rFonts w:ascii="仿宋_GB2312" w:hAnsi="仿宋" w:eastAsia="仿宋_GB2312" w:cs="仿宋"/>
          <w:bCs/>
          <w:sz w:val="32"/>
          <w:szCs w:val="32"/>
          <w:lang w:bidi="ar"/>
        </w:rPr>
        <w:t>智能的审计机构及2名注册会计师收到广东证监局出具的警示函，涉及问题“其一，重要性水平确定存在缺陷。</w:t>
      </w:r>
      <w:r>
        <w:rPr>
          <w:rFonts w:hint="eastAsia" w:ascii="仿宋_GB2312" w:hAnsi="仿宋" w:eastAsia="仿宋_GB2312" w:cs="仿宋"/>
          <w:bCs/>
          <w:sz w:val="32"/>
          <w:szCs w:val="32"/>
          <w:lang w:bidi="ar"/>
        </w:rPr>
        <w:t>事务所</w:t>
      </w:r>
      <w:r>
        <w:rPr>
          <w:rFonts w:ascii="仿宋_GB2312" w:hAnsi="仿宋" w:eastAsia="仿宋_GB2312" w:cs="仿宋"/>
          <w:bCs/>
          <w:sz w:val="32"/>
          <w:szCs w:val="32"/>
          <w:lang w:bidi="ar"/>
        </w:rPr>
        <w:t>采用</w:t>
      </w:r>
      <w:r>
        <w:rPr>
          <w:rFonts w:hint="eastAsia" w:ascii="仿宋_GB2312" w:hAnsi="仿宋" w:eastAsia="仿宋_GB2312" w:cs="仿宋"/>
          <w:bCs/>
          <w:sz w:val="32"/>
          <w:szCs w:val="32"/>
          <w:lang w:bidi="ar"/>
        </w:rPr>
        <w:t>X</w:t>
      </w:r>
      <w:r>
        <w:rPr>
          <w:rFonts w:ascii="仿宋_GB2312" w:hAnsi="仿宋" w:eastAsia="仿宋_GB2312" w:cs="仿宋"/>
          <w:bCs/>
          <w:sz w:val="32"/>
          <w:szCs w:val="32"/>
          <w:lang w:bidi="ar"/>
        </w:rPr>
        <w:t>X智能2022年年报业绩预告利润总额作为计算基准，选用7.5%作为确定集团层面财务报表整体重要性的百分比，未充分考虑被审计单位近年来经营状况大幅度波动的实际情况，未在底稿</w:t>
      </w:r>
      <w:r>
        <w:rPr>
          <w:rFonts w:hint="eastAsia" w:ascii="仿宋_GB2312" w:hAnsi="仿宋" w:eastAsia="仿宋_GB2312" w:cs="仿宋"/>
          <w:bCs/>
          <w:sz w:val="32"/>
          <w:szCs w:val="32"/>
          <w:lang w:bidi="ar"/>
        </w:rPr>
        <w:t>中充分解释重要性水平基准选择合理性及百分比选择恰当性”。</w:t>
      </w:r>
    </w:p>
    <w:p w14:paraId="4EB567D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楷体_GB2312" w:hAnsi="黑体" w:eastAsia="楷体_GB2312" w:cs="仿宋"/>
          <w:b/>
          <w:bCs/>
          <w:sz w:val="32"/>
          <w:szCs w:val="32"/>
          <w:lang w:bidi="ar"/>
        </w:rPr>
      </w:pPr>
      <w:r>
        <w:rPr>
          <w:rFonts w:hint="eastAsia" w:ascii="楷体_GB2312" w:hAnsi="黑体" w:eastAsia="楷体_GB2312" w:cs="仿宋"/>
          <w:b/>
          <w:bCs/>
          <w:sz w:val="32"/>
          <w:szCs w:val="32"/>
          <w:lang w:bidi="ar"/>
        </w:rPr>
        <w:t>（五）其他项目审计程序执行</w:t>
      </w:r>
    </w:p>
    <w:p w14:paraId="528957F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 w:eastAsia="仿宋_GB2312" w:cs="仿宋"/>
          <w:b/>
          <w:bCs/>
          <w:sz w:val="32"/>
          <w:szCs w:val="32"/>
          <w:lang w:bidi="ar"/>
        </w:rPr>
      </w:pPr>
      <w:r>
        <w:rPr>
          <w:rFonts w:hint="eastAsia" w:ascii="仿宋_GB2312" w:hAnsi="仿宋" w:eastAsia="仿宋_GB2312" w:cs="仿宋"/>
          <w:b/>
          <w:bCs/>
          <w:sz w:val="32"/>
          <w:szCs w:val="32"/>
          <w:lang w:bidi="ar"/>
        </w:rPr>
        <w:t>1.主要问题</w:t>
      </w:r>
    </w:p>
    <w:p w14:paraId="660941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hint="eastAsia" w:ascii="仿宋_GB2312" w:hAnsi="仿宋" w:eastAsia="仿宋_GB2312" w:cs="仿宋"/>
          <w:bCs/>
          <w:sz w:val="32"/>
          <w:szCs w:val="32"/>
          <w:lang w:bidi="ar"/>
        </w:rPr>
        <w:t>对舞弊风险评估与应对、对法律法规的考虑（如适用）、诉讼和索赔、会计估计、关联方关系及其交易、持续经营、期后事项等相关审计程序未执行或形式化。</w:t>
      </w:r>
    </w:p>
    <w:p w14:paraId="66020E4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 w:eastAsia="仿宋_GB2312" w:cs="仿宋"/>
          <w:b/>
          <w:bCs/>
          <w:sz w:val="32"/>
          <w:szCs w:val="32"/>
          <w:lang w:bidi="ar"/>
        </w:rPr>
      </w:pPr>
      <w:r>
        <w:rPr>
          <w:rFonts w:hint="eastAsia" w:ascii="仿宋_GB2312" w:hAnsi="仿宋" w:eastAsia="仿宋_GB2312" w:cs="仿宋"/>
          <w:b/>
          <w:bCs/>
          <w:sz w:val="32"/>
          <w:szCs w:val="32"/>
          <w:lang w:bidi="ar"/>
        </w:rPr>
        <w:t>2.指导意见</w:t>
      </w:r>
    </w:p>
    <w:p w14:paraId="610E53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hint="eastAsia" w:ascii="仿宋_GB2312" w:hAnsi="仿宋" w:eastAsia="仿宋_GB2312" w:cs="仿宋"/>
          <w:bCs/>
          <w:sz w:val="32"/>
          <w:szCs w:val="32"/>
          <w:lang w:bidi="ar"/>
        </w:rPr>
        <w:t>注册会计师应当对舞弊风险评估与应对、被审计单位及其所处行业或领域所适用的法律法规的考虑、诉讼和索赔、会计估计、关联方关系及其交易、持续经营、期后事项等实施相关审计程序，以恰当应对审计过程中识别出的舞弊或舞弊嫌疑、违反法律法规行为、诉讼和索赔事项，评价会计估计和相关披露的合理性、关联方关系及其交易是否已恰当识别和披露，识别影响被审计单位持续经营能力的重大疑虑事项或情况，恰当应对在审计报告日后注册会计师知悉的、且如果在审计报告日知悉可能导致注册会计师修改审计报告的事实。</w:t>
      </w:r>
    </w:p>
    <w:p w14:paraId="209503E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 w:eastAsia="仿宋_GB2312" w:cs="仿宋"/>
          <w:b/>
          <w:bCs/>
          <w:sz w:val="32"/>
          <w:szCs w:val="32"/>
          <w:lang w:bidi="ar"/>
        </w:rPr>
      </w:pPr>
      <w:r>
        <w:rPr>
          <w:rFonts w:hint="eastAsia" w:ascii="仿宋_GB2312" w:hAnsi="仿宋" w:eastAsia="仿宋_GB2312" w:cs="仿宋"/>
          <w:b/>
          <w:bCs/>
          <w:sz w:val="32"/>
          <w:szCs w:val="32"/>
          <w:lang w:bidi="ar"/>
        </w:rPr>
        <w:t>3.参考依据</w:t>
      </w:r>
    </w:p>
    <w:p w14:paraId="0256F3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ascii="仿宋_GB2312" w:hAnsi="仿宋" w:eastAsia="仿宋_GB2312" w:cs="仿宋"/>
          <w:bCs/>
          <w:sz w:val="32"/>
          <w:szCs w:val="32"/>
          <w:lang w:bidi="ar"/>
        </w:rPr>
        <w:t>(1)</w:t>
      </w:r>
      <w:r>
        <w:rPr>
          <w:rFonts w:hint="eastAsia" w:ascii="仿宋_GB2312" w:hAnsi="仿宋" w:eastAsia="仿宋_GB2312" w:cs="仿宋"/>
          <w:bCs/>
          <w:sz w:val="32"/>
          <w:szCs w:val="32"/>
          <w:lang w:bidi="ar"/>
        </w:rPr>
        <w:t>《中国注册会计师审计准则第1141号——财务报表审计中与舞弊相关的责任》第二十六条“按照《中国注册会计师审计准则第1211号——重大错报风险的识别和评估》的规定，注册会计师应当在财务报表层次和各类交易、账户余额、披露的认定层次识别和评估舞弊导致的重大错报风险”和第二十九条“按照《中国注册会计师审计准则第1231号——针对评估的重大错报风险采取的应对措施》的规定，注册会计师应当针对评估的舞弊导致的财务报表层次重大错报风险确定总体应对措施”。</w:t>
      </w:r>
    </w:p>
    <w:p w14:paraId="2A26F3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ascii="仿宋_GB2312" w:hAnsi="仿宋" w:eastAsia="仿宋_GB2312" w:cs="仿宋"/>
          <w:bCs/>
          <w:sz w:val="32"/>
          <w:szCs w:val="32"/>
          <w:lang w:bidi="ar"/>
        </w:rPr>
        <w:t>(2)</w:t>
      </w:r>
      <w:r>
        <w:rPr>
          <w:rFonts w:hint="eastAsia" w:ascii="仿宋_GB2312" w:hAnsi="仿宋" w:eastAsia="仿宋_GB2312" w:cs="仿宋"/>
          <w:bCs/>
          <w:sz w:val="32"/>
          <w:szCs w:val="32"/>
          <w:lang w:bidi="ar"/>
        </w:rPr>
        <w:t>《中国注册会计师审计准则第1142号——财务报表审计中对法律法规的考虑》第十三条“按照《中国注册会计师审计准则第1211号——重大错报风险的识别和评估》的规定，在了解被审计单位及其环境时，注册会计师应当从总体上了解下列事项：（一）适用于被审计单位及其所处行业或领域的法律法规框架；（二）被审计单位如何遵守这些法律法规框架”、第十五条“注册会计师应当实施下列审计程序，以有助于识别可能对财务报表产生重大影响的违反其他法律法规的行为：（一）向管理层和治理层（如适用）询问被审计单位是否遵守了这些法律法规；（二）检查被审计单位与许可证颁发机构或监管机构的往来函件”。</w:t>
      </w:r>
    </w:p>
    <w:p w14:paraId="116AA6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ascii="仿宋_GB2312" w:hAnsi="仿宋" w:eastAsia="仿宋_GB2312" w:cs="仿宋"/>
          <w:bCs/>
          <w:sz w:val="32"/>
          <w:szCs w:val="32"/>
          <w:lang w:bidi="ar"/>
        </w:rPr>
        <w:t>(3)</w:t>
      </w:r>
      <w:r>
        <w:rPr>
          <w:rFonts w:hint="eastAsia" w:ascii="仿宋_GB2312" w:hAnsi="仿宋" w:eastAsia="仿宋_GB2312" w:cs="仿宋"/>
          <w:bCs/>
          <w:sz w:val="32"/>
          <w:szCs w:val="32"/>
          <w:lang w:bidi="ar"/>
        </w:rPr>
        <w:t>《中国注册会计师审计准则第1311号——对存货、诉讼和索赔、分部信息等特定项目获取审计证据的具体考虑》第九条“注册会计师应当设计和实施审计程序，以识别涉及被审计单位的可能导致重大错报风险的诉讼和索赔事项。这些审计程序包括：（一）询问管理层和被审计单位内部其他人员，包括询问被审计单位内部法律顾问；（二）查阅治理层的会议纪要和被审计单位与外部法律顾问之间的往来信函；（三）复核法律费用账户记录”。</w:t>
      </w:r>
    </w:p>
    <w:p w14:paraId="6E52F0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ascii="仿宋_GB2312" w:hAnsi="仿宋" w:eastAsia="仿宋_GB2312" w:cs="仿宋"/>
          <w:bCs/>
          <w:sz w:val="32"/>
          <w:szCs w:val="32"/>
          <w:lang w:bidi="ar"/>
        </w:rPr>
        <w:t>(4)</w:t>
      </w:r>
      <w:r>
        <w:rPr>
          <w:rFonts w:hint="eastAsia" w:ascii="仿宋_GB2312" w:hAnsi="仿宋" w:eastAsia="仿宋_GB2312" w:cs="仿宋"/>
          <w:bCs/>
          <w:sz w:val="32"/>
          <w:szCs w:val="32"/>
          <w:lang w:bidi="ar"/>
        </w:rPr>
        <w:t>《中国注册会计师审计准则第1321号——会计估计和相关披露的审计》第九条“在按照《中国注册会计师审计准则第1211号——重大错报风险的识别和评估》的规定，了解被审计单位及其环境、适用的财务报告编制基础、被审计单位的内部控制体系时，注册会计师应当了解与被审计单位会计估计相关的下列方面：</w:t>
      </w:r>
      <w:r>
        <w:rPr>
          <w:rFonts w:ascii="仿宋_GB2312" w:hAnsi="仿宋" w:eastAsia="仿宋_GB2312" w:cs="仿宋"/>
          <w:bCs/>
          <w:sz w:val="32"/>
          <w:szCs w:val="32"/>
          <w:lang w:bidi="ar"/>
        </w:rPr>
        <w:t>……</w:t>
      </w:r>
      <w:r>
        <w:rPr>
          <w:rFonts w:hint="eastAsia" w:ascii="仿宋_GB2312" w:hAnsi="仿宋" w:eastAsia="仿宋_GB2312" w:cs="仿宋"/>
          <w:bCs/>
          <w:sz w:val="32"/>
          <w:szCs w:val="32"/>
          <w:lang w:bidi="ar"/>
        </w:rPr>
        <w:t>”和第十六条“对于与会计估计相关的特别风险，如果拟信赖针对该风险实施的控制，注册会计师应当在本期测试这些控制运行的有效性。如果针对特别风险实施的程序仅为实质性程序，这些程序应当包括细节测试”。</w:t>
      </w:r>
    </w:p>
    <w:p w14:paraId="6555870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ascii="仿宋_GB2312" w:hAnsi="仿宋" w:eastAsia="仿宋_GB2312" w:cs="仿宋"/>
          <w:bCs/>
          <w:sz w:val="32"/>
          <w:szCs w:val="32"/>
          <w:lang w:bidi="ar"/>
        </w:rPr>
        <w:t>(5)</w:t>
      </w:r>
      <w:r>
        <w:rPr>
          <w:rFonts w:hint="eastAsia" w:ascii="仿宋_GB2312" w:hAnsi="仿宋" w:eastAsia="仿宋_GB2312" w:cs="仿宋"/>
          <w:bCs/>
          <w:sz w:val="32"/>
          <w:szCs w:val="32"/>
          <w:lang w:bidi="ar"/>
        </w:rPr>
        <w:t>《中国注册会计师审计准则第1323号——关联方》第十二条“</w:t>
      </w:r>
      <w:r>
        <w:rPr>
          <w:rFonts w:ascii="仿宋_GB2312" w:hAnsi="仿宋" w:eastAsia="仿宋_GB2312" w:cs="仿宋"/>
          <w:bCs/>
          <w:sz w:val="32"/>
          <w:szCs w:val="32"/>
          <w:lang w:bidi="ar"/>
        </w:rPr>
        <w:t>……</w:t>
      </w:r>
      <w:r>
        <w:rPr>
          <w:rFonts w:hint="eastAsia" w:ascii="仿宋_GB2312" w:hAnsi="仿宋" w:eastAsia="仿宋_GB2312" w:cs="仿宋"/>
          <w:bCs/>
          <w:sz w:val="32"/>
          <w:szCs w:val="32"/>
          <w:lang w:bidi="ar"/>
        </w:rPr>
        <w:t>作为风险评估程序和相关工作的一部分，注册会计师应当实施本准则第十三条至第十八条规定的审计程序和相关工作，以获取与识别关联方关系及其交易相关的重大错报风险的信息”。</w:t>
      </w:r>
    </w:p>
    <w:p w14:paraId="7CA727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ascii="仿宋_GB2312" w:hAnsi="仿宋" w:eastAsia="仿宋_GB2312" w:cs="仿宋"/>
          <w:bCs/>
          <w:sz w:val="32"/>
          <w:szCs w:val="32"/>
          <w:lang w:bidi="ar"/>
        </w:rPr>
        <w:t>(6)</w:t>
      </w:r>
      <w:r>
        <w:rPr>
          <w:rFonts w:hint="eastAsia" w:ascii="仿宋_GB2312" w:hAnsi="仿宋" w:eastAsia="仿宋_GB2312" w:cs="仿宋"/>
          <w:bCs/>
          <w:sz w:val="32"/>
          <w:szCs w:val="32"/>
          <w:lang w:bidi="ar"/>
        </w:rPr>
        <w:t>《中国注册会计师审计准则第1324号——持续经营》第十一条“注册会计师应当评价管理层对被审计单位持续经营能力作出的评估”。</w:t>
      </w:r>
    </w:p>
    <w:p w14:paraId="2B06CA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ascii="仿宋_GB2312" w:hAnsi="仿宋" w:eastAsia="仿宋_GB2312" w:cs="仿宋"/>
          <w:bCs/>
          <w:sz w:val="32"/>
          <w:szCs w:val="32"/>
          <w:lang w:bidi="ar"/>
        </w:rPr>
        <w:t>(7)</w:t>
      </w:r>
      <w:r>
        <w:rPr>
          <w:rFonts w:hint="eastAsia" w:ascii="仿宋_GB2312" w:hAnsi="仿宋" w:eastAsia="仿宋_GB2312" w:cs="仿宋"/>
          <w:bCs/>
          <w:sz w:val="32"/>
          <w:szCs w:val="32"/>
          <w:lang w:bidi="ar"/>
        </w:rPr>
        <w:t>《中国注册会计师审计准则第1332号——期后事项》第三条</w:t>
      </w:r>
      <w:r>
        <w:rPr>
          <w:rFonts w:ascii="仿宋_GB2312" w:hAnsi="仿宋" w:eastAsia="仿宋_GB2312" w:cs="仿宋"/>
          <w:bCs/>
          <w:sz w:val="32"/>
          <w:szCs w:val="32"/>
          <w:lang w:bidi="ar"/>
        </w:rPr>
        <w:t>“期后事项，是指财务报表日至审计报告日之间发生的事项，</w:t>
      </w:r>
      <w:r>
        <w:rPr>
          <w:rFonts w:hint="eastAsia" w:ascii="仿宋_GB2312" w:hAnsi="仿宋" w:eastAsia="仿宋_GB2312" w:cs="仿宋"/>
          <w:bCs/>
          <w:sz w:val="32"/>
          <w:szCs w:val="32"/>
          <w:lang w:bidi="ar"/>
        </w:rPr>
        <w:t>以及注册会计师在审计报告日后知悉的事实</w:t>
      </w:r>
      <w:r>
        <w:rPr>
          <w:rFonts w:ascii="仿宋_GB2312" w:hAnsi="仿宋" w:eastAsia="仿宋_GB2312" w:cs="仿宋"/>
          <w:bCs/>
          <w:sz w:val="32"/>
          <w:szCs w:val="32"/>
          <w:lang w:bidi="ar"/>
        </w:rPr>
        <w:t>”</w:t>
      </w:r>
      <w:r>
        <w:rPr>
          <w:rFonts w:hint="eastAsia" w:ascii="仿宋_GB2312" w:hAnsi="仿宋" w:eastAsia="仿宋_GB2312" w:cs="仿宋"/>
          <w:bCs/>
          <w:sz w:val="32"/>
          <w:szCs w:val="32"/>
          <w:lang w:bidi="ar"/>
        </w:rPr>
        <w:t>、第九条</w:t>
      </w:r>
      <w:r>
        <w:rPr>
          <w:rFonts w:ascii="仿宋_GB2312" w:hAnsi="仿宋" w:eastAsia="仿宋_GB2312" w:cs="仿宋"/>
          <w:bCs/>
          <w:sz w:val="32"/>
          <w:szCs w:val="32"/>
          <w:lang w:bidi="ar"/>
        </w:rPr>
        <w:t>“注册会计师应当设计和实施审计程序，获取充分、适当的审</w:t>
      </w:r>
      <w:r>
        <w:rPr>
          <w:rFonts w:hint="eastAsia" w:ascii="仿宋_GB2312" w:hAnsi="仿宋" w:eastAsia="仿宋_GB2312" w:cs="仿宋"/>
          <w:bCs/>
          <w:sz w:val="32"/>
          <w:szCs w:val="32"/>
          <w:lang w:bidi="ar"/>
        </w:rPr>
        <w:t>计证据，以确定所有在财务报表日至审计报告日之间发生的、需要在财务报表中调整或披露的事项均已得到识别。但是，注册会计师并不需要对之前已实施审计程序并已得出满意结论的事项执行追加的审计程序</w:t>
      </w:r>
      <w:r>
        <w:rPr>
          <w:rFonts w:ascii="仿宋_GB2312" w:hAnsi="仿宋" w:eastAsia="仿宋_GB2312" w:cs="仿宋"/>
          <w:bCs/>
          <w:sz w:val="32"/>
          <w:szCs w:val="32"/>
          <w:lang w:bidi="ar"/>
        </w:rPr>
        <w:t>”</w:t>
      </w:r>
      <w:r>
        <w:rPr>
          <w:rFonts w:hint="eastAsia" w:ascii="仿宋_GB2312" w:hAnsi="仿宋" w:eastAsia="仿宋_GB2312" w:cs="仿宋"/>
          <w:bCs/>
          <w:sz w:val="32"/>
          <w:szCs w:val="32"/>
          <w:lang w:bidi="ar"/>
        </w:rPr>
        <w:t>、第十三条</w:t>
      </w:r>
      <w:r>
        <w:rPr>
          <w:rFonts w:ascii="仿宋_GB2312" w:hAnsi="仿宋" w:eastAsia="仿宋_GB2312" w:cs="仿宋"/>
          <w:bCs/>
          <w:sz w:val="32"/>
          <w:szCs w:val="32"/>
          <w:lang w:bidi="ar"/>
        </w:rPr>
        <w:t>“在审计报告日后，注册会计师没有义务针对财务报表实施</w:t>
      </w:r>
      <w:r>
        <w:rPr>
          <w:rFonts w:hint="eastAsia" w:ascii="仿宋_GB2312" w:hAnsi="仿宋" w:eastAsia="仿宋_GB2312" w:cs="仿宋"/>
          <w:bCs/>
          <w:sz w:val="32"/>
          <w:szCs w:val="32"/>
          <w:lang w:bidi="ar"/>
        </w:rPr>
        <w:t>任何审计程序。在审计报告日后至财务报表报出日前，如果知悉了某事实，且若在审计报告日知悉可能导致修改审计报告，注册会计师应当：（一）与管理层和治理层（如适用）讨论该事项；（二）确定财务报表是否需要修改；（三）如果需要修改，询问管理层将如何在财务报表中处理该事项</w:t>
      </w:r>
      <w:r>
        <w:rPr>
          <w:rFonts w:ascii="仿宋_GB2312" w:hAnsi="仿宋" w:eastAsia="仿宋_GB2312" w:cs="仿宋"/>
          <w:bCs/>
          <w:sz w:val="32"/>
          <w:szCs w:val="32"/>
          <w:lang w:bidi="ar"/>
        </w:rPr>
        <w:t>”</w:t>
      </w:r>
      <w:r>
        <w:rPr>
          <w:rFonts w:hint="eastAsia" w:ascii="仿宋_GB2312" w:hAnsi="仿宋" w:eastAsia="仿宋_GB2312" w:cs="仿宋"/>
          <w:bCs/>
          <w:sz w:val="32"/>
          <w:szCs w:val="32"/>
          <w:lang w:bidi="ar"/>
        </w:rPr>
        <w:t>、第十四条</w:t>
      </w:r>
      <w:r>
        <w:rPr>
          <w:rFonts w:ascii="仿宋_GB2312" w:hAnsi="仿宋" w:eastAsia="仿宋_GB2312" w:cs="仿宋"/>
          <w:bCs/>
          <w:sz w:val="32"/>
          <w:szCs w:val="32"/>
          <w:lang w:bidi="ar"/>
        </w:rPr>
        <w:t>“如果管理层修改财务报表，注册会计师应当：</w:t>
      </w:r>
      <w:r>
        <w:rPr>
          <w:rFonts w:hint="eastAsia" w:ascii="仿宋_GB2312" w:hAnsi="仿宋" w:eastAsia="仿宋_GB2312" w:cs="仿宋"/>
          <w:bCs/>
          <w:sz w:val="32"/>
          <w:szCs w:val="32"/>
          <w:lang w:bidi="ar"/>
        </w:rPr>
        <w:t>（一）根据具体情况对有关修改实施必要的审计程序；</w:t>
      </w:r>
      <w:r>
        <w:rPr>
          <w:rFonts w:ascii="仿宋_GB2312" w:hAnsi="仿宋" w:eastAsia="仿宋_GB2312" w:cs="仿宋"/>
          <w:bCs/>
          <w:sz w:val="32"/>
          <w:szCs w:val="32"/>
          <w:lang w:bidi="ar"/>
        </w:rPr>
        <w:t>……”</w:t>
      </w:r>
      <w:r>
        <w:rPr>
          <w:rFonts w:hint="eastAsia" w:ascii="仿宋_GB2312" w:hAnsi="仿宋" w:eastAsia="仿宋_GB2312" w:cs="仿宋"/>
          <w:bCs/>
          <w:sz w:val="32"/>
          <w:szCs w:val="32"/>
          <w:lang w:bidi="ar"/>
        </w:rPr>
        <w:t>。</w:t>
      </w:r>
    </w:p>
    <w:p w14:paraId="74D06A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ascii="仿宋_GB2312" w:hAnsi="仿宋" w:eastAsia="仿宋_GB2312" w:cs="仿宋"/>
          <w:bCs/>
          <w:sz w:val="32"/>
          <w:szCs w:val="32"/>
          <w:lang w:bidi="ar"/>
        </w:rPr>
        <w:t>(8)《企业会计准则第30号——财务报表列报》第三十九条“附注一般应当按照下列顺序至少披露：(一)企业的基本情况。……(二)财务报表的编制基础</w:t>
      </w:r>
      <w:r>
        <w:rPr>
          <w:rFonts w:hint="eastAsia" w:ascii="仿宋_GB2312" w:hAnsi="仿宋" w:eastAsia="仿宋_GB2312" w:cs="仿宋"/>
          <w:bCs/>
          <w:sz w:val="32"/>
          <w:szCs w:val="32"/>
          <w:lang w:bidi="ar"/>
        </w:rPr>
        <w:t>。</w:t>
      </w:r>
      <w:r>
        <w:rPr>
          <w:rFonts w:ascii="仿宋_GB2312" w:hAnsi="仿宋" w:eastAsia="仿宋_GB2312" w:cs="仿宋"/>
          <w:bCs/>
          <w:sz w:val="32"/>
          <w:szCs w:val="32"/>
          <w:lang w:bidi="ar"/>
        </w:rPr>
        <w:t>(三)遵循企业会计准则的声明。……(四)重要会计政策和会计估计。……(五)会计政策和会计估计变更以及差错更正的说明。……(六)报表重要项目的说明。……(七)或有和承诺事项、资产负债表日后非调整事项、关联方关系及其交易等需要说明的事项。(八)有助于财务报表使用者评价企业管理资本的目标、政策及程序的信息”。</w:t>
      </w:r>
    </w:p>
    <w:p w14:paraId="6EBC4FD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楷体_GB2312" w:hAnsi="黑体" w:eastAsia="楷体_GB2312" w:cs="仿宋"/>
          <w:b/>
          <w:bCs/>
          <w:sz w:val="32"/>
          <w:szCs w:val="32"/>
          <w:lang w:bidi="ar"/>
        </w:rPr>
      </w:pPr>
      <w:r>
        <w:rPr>
          <w:rFonts w:hint="eastAsia" w:ascii="楷体_GB2312" w:hAnsi="黑体" w:eastAsia="楷体_GB2312" w:cs="仿宋"/>
          <w:b/>
          <w:bCs/>
          <w:sz w:val="32"/>
          <w:szCs w:val="32"/>
          <w:lang w:bidi="ar"/>
        </w:rPr>
        <w:t>（六）往来款项审计程序执行</w:t>
      </w:r>
    </w:p>
    <w:p w14:paraId="41CC577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黑体" w:eastAsia="仿宋_GB2312" w:cs="仿宋"/>
          <w:b/>
          <w:bCs/>
          <w:sz w:val="32"/>
          <w:szCs w:val="32"/>
          <w:lang w:bidi="ar"/>
        </w:rPr>
      </w:pPr>
      <w:r>
        <w:rPr>
          <w:rFonts w:hint="eastAsia" w:ascii="仿宋_GB2312" w:hAnsi="黑体" w:eastAsia="仿宋_GB2312" w:cs="仿宋"/>
          <w:b/>
          <w:bCs/>
          <w:sz w:val="32"/>
          <w:szCs w:val="32"/>
          <w:lang w:bidi="ar"/>
        </w:rPr>
        <w:t>1.主要问题</w:t>
      </w:r>
    </w:p>
    <w:p w14:paraId="458A90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ascii="仿宋_GB2312" w:hAnsi="仿宋" w:eastAsia="仿宋_GB2312" w:cs="仿宋"/>
          <w:bCs/>
          <w:sz w:val="32"/>
          <w:szCs w:val="32"/>
          <w:lang w:bidi="ar"/>
        </w:rPr>
        <w:t>(1)</w:t>
      </w:r>
      <w:r>
        <w:rPr>
          <w:rFonts w:hint="eastAsia" w:ascii="仿宋_GB2312" w:hAnsi="仿宋" w:eastAsia="仿宋_GB2312" w:cs="仿宋"/>
          <w:bCs/>
          <w:sz w:val="32"/>
          <w:szCs w:val="32"/>
          <w:lang w:bidi="ar"/>
        </w:rPr>
        <w:t>未对应收账款实施函证程序、未说明不函证</w:t>
      </w:r>
      <w:r>
        <w:rPr>
          <w:rFonts w:ascii="仿宋_GB2312" w:hAnsi="仿宋" w:eastAsia="仿宋_GB2312" w:cs="仿宋"/>
          <w:bCs/>
          <w:sz w:val="32"/>
          <w:szCs w:val="32"/>
          <w:lang w:bidi="ar"/>
        </w:rPr>
        <w:t>的</w:t>
      </w:r>
      <w:r>
        <w:rPr>
          <w:rFonts w:hint="eastAsia" w:ascii="仿宋_GB2312" w:hAnsi="仿宋" w:eastAsia="仿宋_GB2312" w:cs="仿宋"/>
          <w:bCs/>
          <w:sz w:val="32"/>
          <w:szCs w:val="32"/>
          <w:lang w:bidi="ar"/>
        </w:rPr>
        <w:t>理由，未执行替代审计程序或执行不到位。</w:t>
      </w:r>
    </w:p>
    <w:p w14:paraId="488C82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ascii="仿宋_GB2312" w:hAnsi="仿宋" w:eastAsia="仿宋_GB2312" w:cs="仿宋"/>
          <w:bCs/>
          <w:sz w:val="32"/>
          <w:szCs w:val="32"/>
          <w:lang w:bidi="ar"/>
        </w:rPr>
        <w:t>(2)</w:t>
      </w:r>
      <w:r>
        <w:rPr>
          <w:rFonts w:hint="eastAsia" w:ascii="仿宋_GB2312" w:hAnsi="仿宋" w:eastAsia="仿宋_GB2312" w:cs="仿宋"/>
          <w:bCs/>
          <w:sz w:val="32"/>
          <w:szCs w:val="32"/>
          <w:lang w:bidi="ar"/>
        </w:rPr>
        <w:t>应收账款以外的其他往来款项仅见程序表、审定表、明细表、检查情况表，未见实际执行审计程序的相关证据或执行不到位。</w:t>
      </w:r>
    </w:p>
    <w:p w14:paraId="3C1094E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黑体" w:eastAsia="仿宋_GB2312" w:cs="仿宋"/>
          <w:b/>
          <w:bCs/>
          <w:sz w:val="32"/>
          <w:szCs w:val="32"/>
          <w:lang w:bidi="ar"/>
        </w:rPr>
      </w:pPr>
      <w:r>
        <w:rPr>
          <w:rFonts w:hint="eastAsia" w:ascii="仿宋_GB2312" w:hAnsi="黑体" w:eastAsia="仿宋_GB2312" w:cs="仿宋"/>
          <w:b/>
          <w:bCs/>
          <w:sz w:val="32"/>
          <w:szCs w:val="32"/>
          <w:lang w:bidi="ar"/>
        </w:rPr>
        <w:t>2.指导意见</w:t>
      </w:r>
    </w:p>
    <w:p w14:paraId="36DBE5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ascii="仿宋_GB2312" w:hAnsi="仿宋" w:eastAsia="仿宋_GB2312" w:cs="仿宋"/>
          <w:bCs/>
          <w:sz w:val="32"/>
          <w:szCs w:val="32"/>
          <w:lang w:bidi="ar"/>
        </w:rPr>
        <w:t>(1)</w:t>
      </w:r>
      <w:r>
        <w:rPr>
          <w:rFonts w:hint="eastAsia" w:ascii="仿宋_GB2312" w:hAnsi="仿宋" w:eastAsia="仿宋_GB2312" w:cs="仿宋"/>
          <w:bCs/>
          <w:sz w:val="32"/>
          <w:szCs w:val="32"/>
          <w:lang w:bidi="ar"/>
        </w:rPr>
        <w:t>应当对应收账款实施函证程序，当有充分证据表明函证很可能无效时，应当实施替代审计程序，以获取相关、可靠的审计证据，</w:t>
      </w:r>
      <w:r>
        <w:rPr>
          <w:rFonts w:ascii="仿宋_GB2312" w:hAnsi="仿宋" w:eastAsia="仿宋_GB2312" w:cs="仿宋"/>
          <w:bCs/>
          <w:sz w:val="32"/>
          <w:szCs w:val="32"/>
          <w:lang w:bidi="ar"/>
        </w:rPr>
        <w:t>并说明不函证的理由</w:t>
      </w:r>
      <w:r>
        <w:rPr>
          <w:rFonts w:hint="eastAsia" w:ascii="仿宋_GB2312" w:hAnsi="仿宋" w:eastAsia="仿宋_GB2312" w:cs="仿宋"/>
          <w:bCs/>
          <w:sz w:val="32"/>
          <w:szCs w:val="32"/>
          <w:lang w:bidi="ar"/>
        </w:rPr>
        <w:t>。</w:t>
      </w:r>
    </w:p>
    <w:p w14:paraId="06DA11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ascii="仿宋_GB2312" w:hAnsi="仿宋" w:eastAsia="仿宋_GB2312" w:cs="仿宋"/>
          <w:bCs/>
          <w:sz w:val="32"/>
          <w:szCs w:val="32"/>
          <w:lang w:bidi="ar"/>
        </w:rPr>
        <w:t>(2)</w:t>
      </w:r>
      <w:r>
        <w:rPr>
          <w:rFonts w:hint="eastAsia" w:ascii="仿宋_GB2312" w:hAnsi="仿宋" w:eastAsia="仿宋_GB2312" w:cs="仿宋"/>
          <w:bCs/>
          <w:sz w:val="32"/>
          <w:szCs w:val="32"/>
          <w:lang w:bidi="ar"/>
        </w:rPr>
        <w:t>对应收账款以外的其他往来款项应当设计和实施恰当的审计程序，如可执行函证程序或替代审计程序等，以获取相关、可靠的审计证据。</w:t>
      </w:r>
    </w:p>
    <w:p w14:paraId="71A9F58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黑体" w:eastAsia="仿宋_GB2312" w:cs="仿宋"/>
          <w:b/>
          <w:bCs/>
          <w:sz w:val="32"/>
          <w:szCs w:val="32"/>
          <w:lang w:bidi="ar"/>
        </w:rPr>
      </w:pPr>
      <w:r>
        <w:rPr>
          <w:rFonts w:hint="eastAsia" w:ascii="仿宋_GB2312" w:hAnsi="黑体" w:eastAsia="仿宋_GB2312" w:cs="仿宋"/>
          <w:b/>
          <w:bCs/>
          <w:sz w:val="32"/>
          <w:szCs w:val="32"/>
          <w:lang w:bidi="ar"/>
        </w:rPr>
        <w:t>3.参考依据</w:t>
      </w:r>
    </w:p>
    <w:p w14:paraId="75DF77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ascii="仿宋_GB2312" w:hAnsi="仿宋" w:eastAsia="仿宋_GB2312" w:cs="仿宋"/>
          <w:bCs/>
          <w:sz w:val="32"/>
          <w:szCs w:val="32"/>
          <w:lang w:bidi="ar"/>
        </w:rPr>
        <w:t>(1)</w:t>
      </w:r>
      <w:r>
        <w:rPr>
          <w:rFonts w:hint="eastAsia" w:ascii="仿宋_GB2312" w:hAnsi="仿宋" w:eastAsia="仿宋_GB2312" w:cs="仿宋"/>
          <w:bCs/>
          <w:sz w:val="32"/>
          <w:szCs w:val="32"/>
          <w:lang w:bidi="ar"/>
        </w:rPr>
        <w:t>《中国注册会计师审计准则第1312号——函证》第十三条“注册会计师应当对应收账款实施函证程序，除非有充分证据表明应收账款对财务报表不重要，或函证很可能无效。如果认为函证很可能无效，注册会计师应当实施替代审计程序，获取相关、可靠的审计证据。如果不对应收账款函证，注册会计师应当在审计工作底稿中说明理由”。</w:t>
      </w:r>
    </w:p>
    <w:p w14:paraId="2A207FD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ascii="仿宋_GB2312" w:hAnsi="仿宋" w:eastAsia="仿宋_GB2312" w:cs="仿宋"/>
          <w:bCs/>
          <w:sz w:val="32"/>
          <w:szCs w:val="32"/>
          <w:lang w:bidi="ar"/>
        </w:rPr>
        <w:t>(2)</w:t>
      </w:r>
      <w:r>
        <w:rPr>
          <w:rFonts w:hint="eastAsia" w:ascii="仿宋_GB2312" w:hAnsi="仿宋" w:eastAsia="仿宋_GB2312" w:cs="仿宋"/>
          <w:bCs/>
          <w:sz w:val="32"/>
          <w:szCs w:val="32"/>
          <w:lang w:bidi="ar"/>
        </w:rPr>
        <w:t>《中国注册会计师审计准则第1301号——审计证据》第十条“注册会计师应当根据具体情况设计和实施恰当的审计程序，以获取充分、适当的审计证据”。</w:t>
      </w:r>
    </w:p>
    <w:p w14:paraId="7F0559A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楷体_GB2312" w:hAnsi="黑体" w:eastAsia="楷体_GB2312" w:cs="仿宋"/>
          <w:b/>
          <w:bCs/>
          <w:sz w:val="32"/>
          <w:szCs w:val="32"/>
          <w:lang w:bidi="ar"/>
        </w:rPr>
      </w:pPr>
      <w:r>
        <w:rPr>
          <w:rFonts w:hint="eastAsia" w:ascii="楷体_GB2312" w:hAnsi="黑体" w:eastAsia="楷体_GB2312" w:cs="仿宋"/>
          <w:b/>
          <w:bCs/>
          <w:sz w:val="32"/>
          <w:szCs w:val="32"/>
          <w:lang w:bidi="ar"/>
        </w:rPr>
        <w:t>（七）固定资产审计程序执行</w:t>
      </w:r>
    </w:p>
    <w:p w14:paraId="5704F09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 w:eastAsia="仿宋_GB2312" w:cs="仿宋"/>
          <w:b/>
          <w:bCs/>
          <w:sz w:val="32"/>
          <w:szCs w:val="32"/>
          <w:lang w:bidi="ar"/>
        </w:rPr>
      </w:pPr>
      <w:r>
        <w:rPr>
          <w:rFonts w:hint="eastAsia" w:ascii="仿宋_GB2312" w:hAnsi="仿宋" w:eastAsia="仿宋_GB2312" w:cs="仿宋"/>
          <w:b/>
          <w:bCs/>
          <w:sz w:val="32"/>
          <w:szCs w:val="32"/>
          <w:lang w:bidi="ar"/>
        </w:rPr>
        <w:t>1.主要问题</w:t>
      </w:r>
    </w:p>
    <w:p w14:paraId="0B4E11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hint="eastAsia" w:ascii="仿宋_GB2312" w:hAnsi="仿宋" w:eastAsia="仿宋_GB2312" w:cs="仿宋"/>
          <w:bCs/>
          <w:sz w:val="32"/>
          <w:szCs w:val="32"/>
          <w:lang w:bidi="ar"/>
        </w:rPr>
        <w:t>被审计单位采用信息系统管理、核算固定资产，累计折旧计提由信息系统自动生成，未执行累计折旧重新测算程序。</w:t>
      </w:r>
    </w:p>
    <w:p w14:paraId="2D0F242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 w:eastAsia="仿宋_GB2312" w:cs="仿宋"/>
          <w:b/>
          <w:bCs/>
          <w:sz w:val="32"/>
          <w:szCs w:val="32"/>
          <w:lang w:bidi="ar"/>
        </w:rPr>
      </w:pPr>
      <w:r>
        <w:rPr>
          <w:rFonts w:hint="eastAsia" w:ascii="仿宋_GB2312" w:hAnsi="仿宋" w:eastAsia="仿宋_GB2312" w:cs="仿宋"/>
          <w:b/>
          <w:bCs/>
          <w:sz w:val="32"/>
          <w:szCs w:val="32"/>
          <w:lang w:bidi="ar"/>
        </w:rPr>
        <w:t>2.指导意见</w:t>
      </w:r>
    </w:p>
    <w:p w14:paraId="4D07DD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hint="eastAsia" w:ascii="仿宋_GB2312" w:hAnsi="仿宋" w:eastAsia="仿宋_GB2312" w:cs="仿宋"/>
          <w:bCs/>
          <w:sz w:val="32"/>
          <w:szCs w:val="32"/>
          <w:lang w:bidi="ar"/>
        </w:rPr>
        <w:t>财务信息系统仅为被审计单位会计核算的实现手段。对高度依赖信息系统进行数据输入和处理、自动计算的财务数据执行审计程序时，应当对相关信息系统的设计和运行实施审计程序，对控制运行的有效性进行测试；被审计单位计提固定资产折旧涉及会计估计，注册会计师应当对被审计期间计提折旧实施重新测算程序。</w:t>
      </w:r>
    </w:p>
    <w:p w14:paraId="41CB58A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 w:eastAsia="仿宋_GB2312" w:cs="仿宋"/>
          <w:b/>
          <w:bCs/>
          <w:sz w:val="32"/>
          <w:szCs w:val="32"/>
          <w:lang w:bidi="ar"/>
        </w:rPr>
      </w:pPr>
      <w:r>
        <w:rPr>
          <w:rFonts w:hint="eastAsia" w:ascii="仿宋_GB2312" w:hAnsi="仿宋" w:eastAsia="仿宋_GB2312" w:cs="仿宋"/>
          <w:b/>
          <w:bCs/>
          <w:sz w:val="32"/>
          <w:szCs w:val="32"/>
          <w:lang w:bidi="ar"/>
        </w:rPr>
        <w:t>3.参考依据</w:t>
      </w:r>
    </w:p>
    <w:p w14:paraId="0DB555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hint="eastAsia" w:ascii="仿宋_GB2312" w:hAnsi="仿宋" w:eastAsia="仿宋_GB2312" w:cs="仿宋"/>
          <w:bCs/>
          <w:sz w:val="32"/>
          <w:szCs w:val="32"/>
          <w:lang w:bidi="ar"/>
        </w:rPr>
        <w:t>《中国注册会计师审计准则第1321号——会计估计和相关披露的审计》第九条“在按照《中国注册会计师审计准则第1211号——重大错报风险的识别和评估》的规定，了解被审计单位及其环境、适用的财务报告编制基础、被审计单位的内部控制体系时，注册会计师应当了解与被审计单位会计估计相关的下列方面：</w:t>
      </w:r>
      <w:r>
        <w:rPr>
          <w:rFonts w:ascii="仿宋_GB2312" w:hAnsi="仿宋" w:eastAsia="仿宋_GB2312" w:cs="仿宋"/>
          <w:bCs/>
          <w:sz w:val="32"/>
          <w:szCs w:val="32"/>
          <w:lang w:bidi="ar"/>
        </w:rPr>
        <w:t>……</w:t>
      </w:r>
      <w:r>
        <w:rPr>
          <w:rFonts w:hint="eastAsia" w:ascii="仿宋_GB2312" w:hAnsi="仿宋" w:eastAsia="仿宋_GB2312" w:cs="仿宋"/>
          <w:bCs/>
          <w:sz w:val="32"/>
          <w:szCs w:val="32"/>
          <w:lang w:bidi="ar"/>
        </w:rPr>
        <w:t>（八）被审计单位与会计估计相关的信息系统，包括：1．对于相关交易类别、账户余额和披露涉及的会计估计和相关披露，有关信息是如何在被审计单位的信息系统中传递的。2．对于相关交易类别、账户余额和披露涉及的会计估计和相关披露，管理层作出会计估计的过程</w:t>
      </w:r>
      <w:r>
        <w:rPr>
          <w:rFonts w:ascii="仿宋_GB2312" w:hAnsi="仿宋" w:eastAsia="仿宋_GB2312" w:cs="仿宋"/>
          <w:bCs/>
          <w:sz w:val="32"/>
          <w:szCs w:val="32"/>
          <w:lang w:bidi="ar"/>
        </w:rPr>
        <w:t>……</w:t>
      </w:r>
      <w:r>
        <w:rPr>
          <w:rFonts w:hint="eastAsia" w:ascii="仿宋_GB2312" w:hAnsi="仿宋" w:eastAsia="仿宋_GB2312" w:cs="仿宋"/>
          <w:bCs/>
          <w:sz w:val="32"/>
          <w:szCs w:val="32"/>
          <w:lang w:bidi="ar"/>
        </w:rPr>
        <w:t>”、第十条“注册会计师应当复核以前期间会计估计的结果，或者复核管理层对以前期间会计估计作出的后续重新估计，以帮助识别和评估本期的重大错报风险</w:t>
      </w:r>
      <w:r>
        <w:rPr>
          <w:rFonts w:ascii="仿宋_GB2312" w:hAnsi="仿宋" w:eastAsia="仿宋_GB2312" w:cs="仿宋"/>
          <w:bCs/>
          <w:sz w:val="32"/>
          <w:szCs w:val="32"/>
          <w:lang w:bidi="ar"/>
        </w:rPr>
        <w:t>……</w:t>
      </w:r>
      <w:r>
        <w:rPr>
          <w:rFonts w:hint="eastAsia" w:ascii="仿宋_GB2312" w:hAnsi="仿宋" w:eastAsia="仿宋_GB2312" w:cs="仿宋"/>
          <w:bCs/>
          <w:sz w:val="32"/>
          <w:szCs w:val="32"/>
          <w:lang w:bidi="ar"/>
        </w:rPr>
        <w:t>在确定复核的性质和范围时，注册会计师应当考虑会计估计的特征”、第十五条“按照《中国注册会计师审计准则第1231号——针对评估的重大错报风险采取的应对措施》的规定，如果存在下列情形之一，注册会计师应当设计和实施控制测试，针对控制运行的有效性，获取充分、适当的审计证据：（一）在评估认定层次重大错报风险时，预期控制的运行是有效的；（二）仅实施实质性程序并不能够提供认定层次充分、适当的审计证据。在设计和实施与会计估计相关的控制测试时，注册会计师应当考虑形成重大错报风险评估结果的依据。对控制有效性的信赖程度越高，注册会计师应当获取越有说服力的审计证据”。</w:t>
      </w:r>
    </w:p>
    <w:p w14:paraId="27C4FA4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楷体_GB2312" w:hAnsi="黑体" w:eastAsia="楷体_GB2312" w:cs="仿宋"/>
          <w:b/>
          <w:bCs/>
          <w:sz w:val="32"/>
          <w:szCs w:val="32"/>
          <w:lang w:bidi="ar"/>
        </w:rPr>
      </w:pPr>
      <w:r>
        <w:rPr>
          <w:rFonts w:hint="eastAsia" w:ascii="楷体_GB2312" w:hAnsi="黑体" w:eastAsia="楷体_GB2312" w:cs="仿宋"/>
          <w:b/>
          <w:bCs/>
          <w:sz w:val="32"/>
          <w:szCs w:val="32"/>
          <w:lang w:bidi="ar"/>
        </w:rPr>
        <w:t>（八）营业收入、营业成本及期间费用审计程序执行</w:t>
      </w:r>
    </w:p>
    <w:p w14:paraId="4AC3550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 w:eastAsia="仿宋_GB2312" w:cs="仿宋"/>
          <w:b/>
          <w:bCs/>
          <w:sz w:val="32"/>
          <w:szCs w:val="32"/>
          <w:lang w:bidi="ar"/>
        </w:rPr>
      </w:pPr>
      <w:r>
        <w:rPr>
          <w:rFonts w:hint="eastAsia" w:ascii="仿宋_GB2312" w:hAnsi="仿宋" w:eastAsia="仿宋_GB2312" w:cs="仿宋"/>
          <w:b/>
          <w:bCs/>
          <w:sz w:val="32"/>
          <w:szCs w:val="32"/>
          <w:lang w:bidi="ar"/>
        </w:rPr>
        <w:t>1.主要问题</w:t>
      </w:r>
    </w:p>
    <w:p w14:paraId="13B10D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hint="eastAsia" w:ascii="仿宋_GB2312" w:hAnsi="仿宋" w:eastAsia="仿宋_GB2312" w:cs="仿宋"/>
          <w:bCs/>
          <w:sz w:val="32"/>
          <w:szCs w:val="32"/>
          <w:lang w:bidi="ar"/>
        </w:rPr>
        <w:t>未执行</w:t>
      </w:r>
      <w:r>
        <w:rPr>
          <w:rFonts w:ascii="仿宋_GB2312" w:hAnsi="仿宋" w:eastAsia="仿宋_GB2312" w:cs="仿宋"/>
          <w:bCs/>
          <w:sz w:val="32"/>
          <w:szCs w:val="32"/>
          <w:lang w:bidi="ar"/>
        </w:rPr>
        <w:t>实质性</w:t>
      </w:r>
      <w:r>
        <w:rPr>
          <w:rFonts w:hint="eastAsia" w:ascii="仿宋_GB2312" w:hAnsi="仿宋" w:eastAsia="仿宋_GB2312" w:cs="仿宋"/>
          <w:bCs/>
          <w:sz w:val="32"/>
          <w:szCs w:val="32"/>
          <w:lang w:bidi="ar"/>
        </w:rPr>
        <w:t>分析程序或执行流于形式，未执行截止测试程序或仅执行了资产负债表日前测试程序、未执行资产负债表日后的测试。</w:t>
      </w:r>
    </w:p>
    <w:p w14:paraId="7EB6D99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 w:eastAsia="仿宋_GB2312" w:cs="仿宋"/>
          <w:b/>
          <w:bCs/>
          <w:sz w:val="32"/>
          <w:szCs w:val="32"/>
          <w:lang w:bidi="ar"/>
        </w:rPr>
      </w:pPr>
      <w:r>
        <w:rPr>
          <w:rFonts w:hint="eastAsia" w:ascii="仿宋_GB2312" w:hAnsi="仿宋" w:eastAsia="仿宋_GB2312" w:cs="仿宋"/>
          <w:b/>
          <w:bCs/>
          <w:sz w:val="32"/>
          <w:szCs w:val="32"/>
          <w:lang w:bidi="ar"/>
        </w:rPr>
        <w:t>2.指导意见</w:t>
      </w:r>
    </w:p>
    <w:p w14:paraId="548317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hint="eastAsia" w:ascii="仿宋_GB2312" w:hAnsi="仿宋" w:eastAsia="仿宋_GB2312" w:cs="仿宋"/>
          <w:bCs/>
          <w:sz w:val="32"/>
          <w:szCs w:val="32"/>
          <w:lang w:bidi="ar"/>
        </w:rPr>
        <w:t>应当对营业收入、营业成本及期间费用执行实质性分析程序，以确定业务活动水平是否异常，识别出与预期值差异重大的波动，并调查这些异常，以获取相关、可靠的审计证据。</w:t>
      </w:r>
    </w:p>
    <w:p w14:paraId="3FA86D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hint="eastAsia" w:ascii="仿宋_GB2312" w:hAnsi="仿宋" w:eastAsia="仿宋_GB2312" w:cs="仿宋"/>
          <w:bCs/>
          <w:sz w:val="32"/>
          <w:szCs w:val="32"/>
          <w:lang w:bidi="ar"/>
        </w:rPr>
        <w:t>应当对资产负债表日前后的财务数据执行截止测试程序，以确定是否存在跨期现象。</w:t>
      </w:r>
    </w:p>
    <w:p w14:paraId="2258BE7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 w:eastAsia="仿宋_GB2312" w:cs="仿宋"/>
          <w:b/>
          <w:bCs/>
          <w:sz w:val="32"/>
          <w:szCs w:val="32"/>
          <w:lang w:bidi="ar"/>
        </w:rPr>
      </w:pPr>
      <w:r>
        <w:rPr>
          <w:rFonts w:hint="eastAsia" w:ascii="仿宋_GB2312" w:hAnsi="仿宋" w:eastAsia="仿宋_GB2312" w:cs="仿宋"/>
          <w:b/>
          <w:bCs/>
          <w:sz w:val="32"/>
          <w:szCs w:val="32"/>
          <w:lang w:bidi="ar"/>
        </w:rPr>
        <w:t>3.参考依据</w:t>
      </w:r>
    </w:p>
    <w:p w14:paraId="471B54D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ascii="仿宋_GB2312" w:hAnsi="仿宋" w:eastAsia="仿宋_GB2312" w:cs="仿宋"/>
          <w:bCs/>
          <w:sz w:val="32"/>
          <w:szCs w:val="32"/>
          <w:lang w:bidi="ar"/>
        </w:rPr>
        <w:t>(1)</w:t>
      </w:r>
      <w:r>
        <w:rPr>
          <w:rFonts w:hint="eastAsia" w:ascii="仿宋_GB2312" w:hAnsi="仿宋" w:eastAsia="仿宋_GB2312" w:cs="仿宋"/>
          <w:bCs/>
          <w:sz w:val="32"/>
          <w:szCs w:val="32"/>
          <w:lang w:bidi="ar"/>
        </w:rPr>
        <w:t>《中国注册会计师审计准则第1131号——审计工作底稿》第十条“注册会计师编制的审计工作底稿，应当使得未曾接触该项审计工作的有经验的专业人士清楚了解：（一）按照审计准则和相关法律法规的规定实施的审计程序的性质、时间安排和范围；（二）实施审计程序的结果和获取的审计证据；（三）审计中遇到的重大事项和得出的结论，以及在得出结论时作出的重大职业判断”、第十一条“在记录已实施审计程序的性质、时间安排和范围时，注册会计师应当记录：（一）测试的具体项目或事项的识别特征；</w:t>
      </w:r>
      <w:r>
        <w:rPr>
          <w:rFonts w:ascii="仿宋_GB2312" w:hAnsi="仿宋" w:eastAsia="仿宋_GB2312" w:cs="仿宋"/>
          <w:bCs/>
          <w:sz w:val="32"/>
          <w:szCs w:val="32"/>
          <w:lang w:bidi="ar"/>
        </w:rPr>
        <w:t>……</w:t>
      </w:r>
      <w:r>
        <w:rPr>
          <w:rFonts w:hint="eastAsia" w:ascii="仿宋_GB2312" w:hAnsi="仿宋" w:eastAsia="仿宋_GB2312" w:cs="仿宋"/>
          <w:bCs/>
          <w:sz w:val="32"/>
          <w:szCs w:val="32"/>
          <w:lang w:bidi="ar"/>
        </w:rPr>
        <w:t>”。</w:t>
      </w:r>
    </w:p>
    <w:p w14:paraId="666D04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ascii="仿宋_GB2312" w:hAnsi="仿宋" w:eastAsia="仿宋_GB2312" w:cs="仿宋"/>
          <w:bCs/>
          <w:sz w:val="32"/>
          <w:szCs w:val="32"/>
          <w:lang w:bidi="ar"/>
        </w:rPr>
        <w:t>(2)</w:t>
      </w:r>
      <w:r>
        <w:rPr>
          <w:rFonts w:hint="eastAsia" w:ascii="仿宋_GB2312" w:hAnsi="仿宋" w:eastAsia="仿宋_GB2312" w:cs="仿宋"/>
          <w:bCs/>
          <w:sz w:val="32"/>
          <w:szCs w:val="32"/>
          <w:lang w:bidi="ar"/>
        </w:rPr>
        <w:t>《中国注册会计师审计准则第</w:t>
      </w:r>
      <w:r>
        <w:rPr>
          <w:rFonts w:ascii="仿宋_GB2312" w:hAnsi="仿宋" w:eastAsia="仿宋_GB2312" w:cs="仿宋"/>
          <w:bCs/>
          <w:sz w:val="32"/>
          <w:szCs w:val="32"/>
          <w:lang w:bidi="ar"/>
        </w:rPr>
        <w:t>1231号——针对评估的重大错报风险采取的应对措施》第二条“实质性程序，是指用于发现认定层次重大错报的审计程序。实质性程序包括下列两类程序：（一）对各类交易、账户余额和披露的细节测试；（二）实质性分析程序”、第二十六条“注册会计师应当确定是否已获取充分、适当的审计证据。在形成审计意见时，注册会计师应当考虑所有相关的审计证据，无论该证据与财务报表认定相互印证还是相互矛盾”、第二十七条“如果对各类交易、账户余额和披露的相关认定没有获取充分、适当的审计证据，注册会计师应当尽可能获取进一步</w:t>
      </w:r>
      <w:r>
        <w:rPr>
          <w:rFonts w:hint="eastAsia" w:ascii="仿宋_GB2312" w:hAnsi="仿宋" w:eastAsia="仿宋_GB2312" w:cs="仿宋"/>
          <w:bCs/>
          <w:sz w:val="32"/>
          <w:szCs w:val="32"/>
          <w:lang w:bidi="ar"/>
        </w:rPr>
        <w:t>的审计证据。如果仍然不能获取充分、适当的审计证据，注册会计师应当对财务报表发表保留意见或无法表示意见”。</w:t>
      </w:r>
    </w:p>
    <w:p w14:paraId="0FE40A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ascii="仿宋_GB2312" w:hAnsi="仿宋" w:eastAsia="仿宋_GB2312" w:cs="仿宋"/>
          <w:bCs/>
          <w:sz w:val="32"/>
          <w:szCs w:val="32"/>
          <w:lang w:bidi="ar"/>
        </w:rPr>
        <w:t>(3)</w:t>
      </w:r>
      <w:r>
        <w:rPr>
          <w:rFonts w:hint="eastAsia"/>
        </w:rPr>
        <w:t xml:space="preserve"> </w:t>
      </w:r>
      <w:r>
        <w:rPr>
          <w:rFonts w:hint="eastAsia" w:ascii="仿宋_GB2312" w:hAnsi="仿宋" w:eastAsia="仿宋_GB2312" w:cs="仿宋"/>
          <w:bCs/>
          <w:sz w:val="32"/>
          <w:szCs w:val="32"/>
          <w:lang w:bidi="ar"/>
        </w:rPr>
        <w:t>《中国注册会计师审计准则第</w:t>
      </w:r>
      <w:r>
        <w:rPr>
          <w:rFonts w:ascii="仿宋_GB2312" w:hAnsi="仿宋" w:eastAsia="仿宋_GB2312" w:cs="仿宋"/>
          <w:bCs/>
          <w:sz w:val="32"/>
          <w:szCs w:val="32"/>
          <w:lang w:bidi="ar"/>
        </w:rPr>
        <w:t>1313号——分析程序》第五条“在设计和实施实质性分析程序时，无论单独使用或与细节测试结合使用，注册会计师都应当：……（二）考虑可获得信息的来源、可比性、性质和相关性以及与信息编制相关的控制，评价在对已记录的金额或比率作出预期时使用数据的可靠性；（三）对已记录的金额或比率作出预期，并评价预期值是否足够精确以识别重大错报（包括单项重大的错报和单项虽不重大但连同其他错报可能导致财务报表产生重大错报的错报）；（四）确定已记录金额与预期值之间可接受的，且无需按本准则第七条的要求作进一步调查</w:t>
      </w:r>
      <w:r>
        <w:rPr>
          <w:rFonts w:hint="eastAsia" w:ascii="仿宋_GB2312" w:hAnsi="仿宋" w:eastAsia="仿宋_GB2312" w:cs="仿宋"/>
          <w:bCs/>
          <w:sz w:val="32"/>
          <w:szCs w:val="32"/>
          <w:lang w:bidi="ar"/>
        </w:rPr>
        <w:t>的差异额”、第七条“如果按照本准则的规定实施分析程序，识别出与其他相关信息不一致的波动或关系，或与预期值差异重大的波动或关系，注册会计师应当采取下列措施调查这些差异：（一）询问管理层，并针对管理层的答复获取适当的审计证据；（二）根据具体情况在必要时实施其他审计程序”。</w:t>
      </w:r>
    </w:p>
    <w:p w14:paraId="6451E8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ascii="仿宋_GB2312" w:hAnsi="仿宋" w:eastAsia="仿宋_GB2312" w:cs="仿宋"/>
          <w:bCs/>
          <w:sz w:val="32"/>
          <w:szCs w:val="32"/>
          <w:lang w:bidi="ar"/>
        </w:rPr>
        <w:t>(4)</w:t>
      </w:r>
      <w:r>
        <w:rPr>
          <w:rFonts w:hint="eastAsia" w:ascii="仿宋_GB2312" w:hAnsi="仿宋" w:eastAsia="仿宋_GB2312" w:cs="仿宋"/>
          <w:bCs/>
          <w:sz w:val="32"/>
          <w:szCs w:val="32"/>
          <w:lang w:bidi="ar"/>
        </w:rPr>
        <w:t>《中国注册会计师审计准则第1301号——审计证据》第十条“注册会计师应当根据具体情况设计和实施恰当的审计程序，以获取充分、适当的审计证据”。</w:t>
      </w:r>
    </w:p>
    <w:p w14:paraId="34768A5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cs="仿宋"/>
          <w:b/>
          <w:sz w:val="32"/>
          <w:szCs w:val="32"/>
          <w:lang w:bidi="ar"/>
        </w:rPr>
      </w:pPr>
      <w:r>
        <w:rPr>
          <w:rFonts w:hint="eastAsia" w:ascii="黑体" w:hAnsi="黑体" w:eastAsia="黑体" w:cs="仿宋"/>
          <w:b/>
          <w:sz w:val="32"/>
          <w:szCs w:val="32"/>
          <w:lang w:bidi="ar"/>
        </w:rPr>
        <w:t>三、</w:t>
      </w:r>
      <w:bookmarkStart w:id="4" w:name="OLE_LINK8"/>
      <w:r>
        <w:rPr>
          <w:rFonts w:hint="eastAsia" w:ascii="黑体" w:hAnsi="黑体" w:eastAsia="黑体" w:cs="仿宋"/>
          <w:b/>
          <w:sz w:val="32"/>
          <w:szCs w:val="32"/>
          <w:lang w:bidi="ar"/>
        </w:rPr>
        <w:t>合理保证鉴证</w:t>
      </w:r>
      <w:bookmarkStart w:id="5" w:name="OLE_LINK4"/>
      <w:r>
        <w:rPr>
          <w:rFonts w:hint="eastAsia" w:ascii="黑体" w:hAnsi="黑体" w:eastAsia="黑体" w:cs="仿宋"/>
          <w:b/>
          <w:sz w:val="32"/>
          <w:szCs w:val="32"/>
          <w:lang w:bidi="ar"/>
        </w:rPr>
        <w:t>业务</w:t>
      </w:r>
      <w:bookmarkEnd w:id="4"/>
      <w:r>
        <w:rPr>
          <w:rFonts w:hint="eastAsia" w:ascii="黑体" w:hAnsi="黑体" w:eastAsia="黑体" w:cs="仿宋"/>
          <w:b/>
          <w:sz w:val="32"/>
          <w:szCs w:val="32"/>
          <w:lang w:bidi="ar"/>
        </w:rPr>
        <w:t>报告披露及程序执行方面</w:t>
      </w:r>
      <w:bookmarkEnd w:id="5"/>
    </w:p>
    <w:p w14:paraId="42A6851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 w:eastAsia="仿宋_GB2312" w:cs="仿宋"/>
          <w:b/>
          <w:bCs/>
          <w:sz w:val="32"/>
          <w:szCs w:val="32"/>
          <w:lang w:bidi="ar"/>
        </w:rPr>
      </w:pPr>
      <w:r>
        <w:rPr>
          <w:rFonts w:hint="eastAsia" w:ascii="仿宋_GB2312" w:hAnsi="仿宋" w:eastAsia="仿宋_GB2312" w:cs="仿宋"/>
          <w:b/>
          <w:bCs/>
          <w:sz w:val="32"/>
          <w:szCs w:val="32"/>
          <w:lang w:bidi="ar"/>
        </w:rPr>
        <w:t>1.主要问题</w:t>
      </w:r>
    </w:p>
    <w:p w14:paraId="094DDB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ascii="仿宋_GB2312" w:hAnsi="仿宋" w:eastAsia="仿宋_GB2312" w:cs="仿宋"/>
          <w:bCs/>
          <w:sz w:val="32"/>
          <w:szCs w:val="32"/>
          <w:lang w:bidi="ar"/>
        </w:rPr>
        <w:t>(1)</w:t>
      </w:r>
      <w:r>
        <w:rPr>
          <w:rFonts w:hint="eastAsia" w:ascii="仿宋_GB2312" w:hAnsi="仿宋" w:eastAsia="仿宋_GB2312" w:cs="仿宋"/>
          <w:bCs/>
          <w:sz w:val="32"/>
          <w:szCs w:val="32"/>
          <w:lang w:bidi="ar"/>
        </w:rPr>
        <w:t>未在特别鉴证业务报告（</w:t>
      </w:r>
      <w:r>
        <w:rPr>
          <w:rFonts w:ascii="仿宋_GB2312" w:hAnsi="仿宋" w:eastAsia="仿宋_GB2312" w:cs="仿宋"/>
          <w:bCs/>
          <w:sz w:val="32"/>
          <w:szCs w:val="32"/>
          <w:lang w:bidi="ar"/>
        </w:rPr>
        <w:t>财务报表审计</w:t>
      </w:r>
      <w:r>
        <w:rPr>
          <w:rFonts w:hint="eastAsia" w:ascii="仿宋_GB2312" w:hAnsi="仿宋" w:eastAsia="仿宋_GB2312" w:cs="仿宋"/>
          <w:bCs/>
          <w:sz w:val="32"/>
          <w:szCs w:val="32"/>
          <w:lang w:bidi="ar"/>
        </w:rPr>
        <w:t>之外</w:t>
      </w:r>
      <w:r>
        <w:rPr>
          <w:rFonts w:ascii="仿宋_GB2312" w:hAnsi="仿宋" w:eastAsia="仿宋_GB2312" w:cs="仿宋"/>
          <w:bCs/>
          <w:sz w:val="32"/>
          <w:szCs w:val="32"/>
          <w:lang w:bidi="ar"/>
        </w:rPr>
        <w:t>的特殊目的</w:t>
      </w:r>
      <w:r>
        <w:rPr>
          <w:rFonts w:hint="eastAsia" w:ascii="仿宋_GB2312" w:hAnsi="仿宋" w:eastAsia="仿宋_GB2312" w:cs="仿宋"/>
          <w:bCs/>
          <w:sz w:val="32"/>
          <w:szCs w:val="32"/>
          <w:lang w:bidi="ar"/>
        </w:rPr>
        <w:t>鉴证）中注明报告的特定使用者或特定目的，未对报告的用途加以限定。</w:t>
      </w:r>
    </w:p>
    <w:p w14:paraId="0AF2D3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ascii="仿宋_GB2312" w:hAnsi="仿宋" w:eastAsia="仿宋_GB2312" w:cs="仿宋"/>
          <w:bCs/>
          <w:sz w:val="32"/>
          <w:szCs w:val="32"/>
          <w:lang w:bidi="ar"/>
        </w:rPr>
        <w:t>(2)</w:t>
      </w:r>
      <w:r>
        <w:rPr>
          <w:rFonts w:hint="eastAsia" w:ascii="仿宋_GB2312" w:hAnsi="仿宋" w:eastAsia="仿宋_GB2312" w:cs="仿宋"/>
          <w:bCs/>
          <w:sz w:val="32"/>
          <w:szCs w:val="32"/>
          <w:lang w:bidi="ar"/>
        </w:rPr>
        <w:t>未在</w:t>
      </w:r>
      <w:r>
        <w:rPr>
          <w:rFonts w:ascii="仿宋_GB2312" w:hAnsi="仿宋" w:eastAsia="仿宋_GB2312" w:cs="仿宋"/>
          <w:bCs/>
          <w:sz w:val="32"/>
          <w:szCs w:val="32"/>
          <w:lang w:bidi="ar"/>
        </w:rPr>
        <w:t>接受</w:t>
      </w:r>
      <w:r>
        <w:rPr>
          <w:rFonts w:hint="eastAsia" w:ascii="仿宋_GB2312" w:hAnsi="仿宋" w:eastAsia="仿宋_GB2312" w:cs="仿宋"/>
          <w:bCs/>
          <w:sz w:val="32"/>
          <w:szCs w:val="32"/>
          <w:lang w:bidi="ar"/>
        </w:rPr>
        <w:t>合理保证鉴证业务</w:t>
      </w:r>
      <w:r>
        <w:rPr>
          <w:rFonts w:ascii="仿宋_GB2312" w:hAnsi="仿宋" w:eastAsia="仿宋_GB2312" w:cs="仿宋"/>
          <w:bCs/>
          <w:sz w:val="32"/>
          <w:szCs w:val="32"/>
          <w:lang w:bidi="ar"/>
        </w:rPr>
        <w:t>委托前</w:t>
      </w:r>
      <w:r>
        <w:rPr>
          <w:rFonts w:hint="eastAsia" w:ascii="仿宋_GB2312" w:hAnsi="仿宋" w:eastAsia="仿宋_GB2312" w:cs="仿宋"/>
          <w:bCs/>
          <w:sz w:val="32"/>
          <w:szCs w:val="32"/>
          <w:lang w:bidi="ar"/>
        </w:rPr>
        <w:t>初步了解业务环境，未对</w:t>
      </w:r>
      <w:r>
        <w:rPr>
          <w:rFonts w:ascii="仿宋_GB2312" w:hAnsi="仿宋" w:eastAsia="仿宋_GB2312" w:cs="仿宋"/>
          <w:bCs/>
          <w:sz w:val="32"/>
          <w:szCs w:val="32"/>
          <w:lang w:bidi="ar"/>
        </w:rPr>
        <w:t>独立性和专业胜任能力进行评价，</w:t>
      </w:r>
      <w:r>
        <w:rPr>
          <w:rFonts w:hint="eastAsia" w:ascii="仿宋_GB2312" w:hAnsi="仿宋" w:eastAsia="仿宋_GB2312" w:cs="仿宋"/>
          <w:bCs/>
          <w:sz w:val="32"/>
          <w:szCs w:val="32"/>
          <w:lang w:bidi="ar"/>
        </w:rPr>
        <w:t>未评估</w:t>
      </w:r>
      <w:r>
        <w:rPr>
          <w:rFonts w:ascii="仿宋_GB2312" w:hAnsi="仿宋" w:eastAsia="仿宋_GB2312" w:cs="仿宋"/>
          <w:bCs/>
          <w:sz w:val="32"/>
          <w:szCs w:val="32"/>
          <w:lang w:bidi="ar"/>
        </w:rPr>
        <w:t>鉴证业务</w:t>
      </w:r>
      <w:r>
        <w:rPr>
          <w:rFonts w:hint="eastAsia" w:ascii="仿宋_GB2312" w:hAnsi="仿宋" w:eastAsia="仿宋_GB2312" w:cs="仿宋"/>
          <w:bCs/>
          <w:sz w:val="32"/>
          <w:szCs w:val="32"/>
          <w:lang w:bidi="ar"/>
        </w:rPr>
        <w:t>风险，未考虑重要性。</w:t>
      </w:r>
    </w:p>
    <w:p w14:paraId="2098405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 w:eastAsia="仿宋_GB2312" w:cs="仿宋"/>
          <w:b/>
          <w:bCs/>
          <w:sz w:val="32"/>
          <w:szCs w:val="32"/>
          <w:lang w:bidi="ar"/>
        </w:rPr>
      </w:pPr>
      <w:r>
        <w:rPr>
          <w:rFonts w:hint="eastAsia" w:ascii="仿宋_GB2312" w:hAnsi="仿宋" w:eastAsia="仿宋_GB2312" w:cs="仿宋"/>
          <w:b/>
          <w:bCs/>
          <w:sz w:val="32"/>
          <w:szCs w:val="32"/>
          <w:lang w:bidi="ar"/>
        </w:rPr>
        <w:t>2.指导意见</w:t>
      </w:r>
    </w:p>
    <w:p w14:paraId="0BE92B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ascii="仿宋_GB2312" w:hAnsi="仿宋" w:eastAsia="仿宋_GB2312" w:cs="仿宋"/>
          <w:bCs/>
          <w:sz w:val="32"/>
          <w:szCs w:val="32"/>
          <w:lang w:bidi="ar"/>
        </w:rPr>
        <w:t>(1)</w:t>
      </w:r>
      <w:r>
        <w:rPr>
          <w:rFonts w:hint="eastAsia" w:ascii="仿宋_GB2312" w:hAnsi="仿宋" w:eastAsia="仿宋_GB2312" w:cs="仿宋"/>
          <w:bCs/>
          <w:sz w:val="32"/>
          <w:szCs w:val="32"/>
          <w:lang w:bidi="ar"/>
        </w:rPr>
        <w:t>应当在特别</w:t>
      </w:r>
      <w:r>
        <w:rPr>
          <w:rFonts w:ascii="仿宋_GB2312" w:hAnsi="仿宋" w:eastAsia="仿宋_GB2312" w:cs="仿宋"/>
          <w:bCs/>
          <w:sz w:val="32"/>
          <w:szCs w:val="32"/>
          <w:lang w:bidi="ar"/>
        </w:rPr>
        <w:t>鉴证</w:t>
      </w:r>
      <w:r>
        <w:rPr>
          <w:rFonts w:hint="eastAsia" w:ascii="仿宋_GB2312" w:hAnsi="仿宋" w:eastAsia="仿宋_GB2312" w:cs="仿宋"/>
          <w:bCs/>
          <w:sz w:val="32"/>
          <w:szCs w:val="32"/>
          <w:lang w:bidi="ar"/>
        </w:rPr>
        <w:t xml:space="preserve">业务报告中注明报告的特定使用者或特定目的，对报告的用途加以限定。 </w:t>
      </w:r>
    </w:p>
    <w:p w14:paraId="0B3810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ascii="仿宋_GB2312" w:hAnsi="仿宋" w:eastAsia="仿宋_GB2312" w:cs="仿宋"/>
          <w:bCs/>
          <w:sz w:val="32"/>
          <w:szCs w:val="32"/>
          <w:lang w:bidi="ar"/>
        </w:rPr>
        <w:t>(2)</w:t>
      </w:r>
      <w:r>
        <w:rPr>
          <w:rFonts w:hint="eastAsia" w:ascii="仿宋_GB2312" w:hAnsi="仿宋" w:eastAsia="仿宋_GB2312" w:cs="仿宋"/>
          <w:bCs/>
          <w:sz w:val="32"/>
          <w:szCs w:val="32"/>
          <w:lang w:bidi="ar"/>
        </w:rPr>
        <w:t>应当在接受合理保证鉴证业务委托前，初步了解业务环境，评价</w:t>
      </w:r>
      <w:r>
        <w:rPr>
          <w:rFonts w:ascii="仿宋_GB2312" w:hAnsi="仿宋" w:eastAsia="仿宋_GB2312" w:cs="仿宋"/>
          <w:bCs/>
          <w:sz w:val="32"/>
          <w:szCs w:val="32"/>
          <w:lang w:bidi="ar"/>
        </w:rPr>
        <w:t>独立性和专业胜任能力</w:t>
      </w:r>
      <w:r>
        <w:rPr>
          <w:rFonts w:hint="eastAsia" w:ascii="仿宋_GB2312" w:hAnsi="仿宋" w:eastAsia="仿宋_GB2312" w:cs="仿宋"/>
          <w:bCs/>
          <w:sz w:val="32"/>
          <w:szCs w:val="32"/>
          <w:lang w:bidi="ar"/>
        </w:rPr>
        <w:t>，</w:t>
      </w:r>
      <w:r>
        <w:rPr>
          <w:rFonts w:ascii="仿宋_GB2312" w:hAnsi="仿宋" w:eastAsia="仿宋_GB2312" w:cs="仿宋"/>
          <w:bCs/>
          <w:sz w:val="32"/>
          <w:szCs w:val="32"/>
          <w:lang w:bidi="ar"/>
        </w:rPr>
        <w:t>评估鉴证业务风险</w:t>
      </w:r>
      <w:r>
        <w:rPr>
          <w:rFonts w:hint="eastAsia" w:ascii="仿宋_GB2312" w:hAnsi="仿宋" w:eastAsia="仿宋_GB2312" w:cs="仿宋"/>
          <w:bCs/>
          <w:sz w:val="32"/>
          <w:szCs w:val="32"/>
          <w:lang w:bidi="ar"/>
        </w:rPr>
        <w:t>，考虑重要性，</w:t>
      </w:r>
      <w:r>
        <w:rPr>
          <w:rFonts w:ascii="仿宋_GB2312" w:hAnsi="仿宋" w:eastAsia="仿宋_GB2312" w:cs="仿宋"/>
          <w:bCs/>
          <w:sz w:val="32"/>
          <w:szCs w:val="32"/>
          <w:lang w:bidi="ar"/>
        </w:rPr>
        <w:t>制定</w:t>
      </w:r>
      <w:r>
        <w:rPr>
          <w:rFonts w:hint="eastAsia" w:ascii="仿宋_GB2312" w:hAnsi="仿宋" w:eastAsia="仿宋_GB2312" w:cs="仿宋"/>
          <w:bCs/>
          <w:sz w:val="32"/>
          <w:szCs w:val="32"/>
          <w:lang w:bidi="ar"/>
        </w:rPr>
        <w:t>总体</w:t>
      </w:r>
      <w:r>
        <w:rPr>
          <w:rFonts w:ascii="仿宋_GB2312" w:hAnsi="仿宋" w:eastAsia="仿宋_GB2312" w:cs="仿宋"/>
          <w:bCs/>
          <w:sz w:val="32"/>
          <w:szCs w:val="32"/>
          <w:lang w:bidi="ar"/>
        </w:rPr>
        <w:t>应对措施，确定进一步</w:t>
      </w:r>
      <w:r>
        <w:rPr>
          <w:rFonts w:hint="eastAsia" w:ascii="仿宋_GB2312" w:hAnsi="仿宋" w:eastAsia="仿宋_GB2312" w:cs="仿宋"/>
          <w:bCs/>
          <w:sz w:val="32"/>
          <w:szCs w:val="32"/>
          <w:lang w:bidi="ar"/>
        </w:rPr>
        <w:t>鉴证</w:t>
      </w:r>
      <w:r>
        <w:rPr>
          <w:rFonts w:ascii="仿宋_GB2312" w:hAnsi="仿宋" w:eastAsia="仿宋_GB2312" w:cs="仿宋"/>
          <w:bCs/>
          <w:sz w:val="32"/>
          <w:szCs w:val="32"/>
          <w:lang w:bidi="ar"/>
        </w:rPr>
        <w:t>程序</w:t>
      </w:r>
      <w:r>
        <w:rPr>
          <w:rFonts w:hint="eastAsia" w:ascii="仿宋_GB2312" w:hAnsi="仿宋" w:eastAsia="仿宋_GB2312" w:cs="仿宋"/>
          <w:bCs/>
          <w:sz w:val="32"/>
          <w:szCs w:val="32"/>
          <w:lang w:bidi="ar"/>
        </w:rPr>
        <w:t>（包括实质性</w:t>
      </w:r>
      <w:r>
        <w:rPr>
          <w:rFonts w:ascii="仿宋_GB2312" w:hAnsi="仿宋" w:eastAsia="仿宋_GB2312" w:cs="仿宋"/>
          <w:bCs/>
          <w:sz w:val="32"/>
          <w:szCs w:val="32"/>
          <w:lang w:bidi="ar"/>
        </w:rPr>
        <w:t>程序，必要时进行控制测试</w:t>
      </w:r>
      <w:r>
        <w:rPr>
          <w:rFonts w:hint="eastAsia" w:ascii="仿宋_GB2312" w:hAnsi="仿宋" w:eastAsia="仿宋_GB2312" w:cs="仿宋"/>
          <w:bCs/>
          <w:sz w:val="32"/>
          <w:szCs w:val="32"/>
          <w:lang w:bidi="ar"/>
        </w:rPr>
        <w:t>）</w:t>
      </w:r>
      <w:r>
        <w:rPr>
          <w:rFonts w:ascii="仿宋_GB2312" w:hAnsi="仿宋" w:eastAsia="仿宋_GB2312" w:cs="仿宋"/>
          <w:bCs/>
          <w:sz w:val="32"/>
          <w:szCs w:val="32"/>
          <w:lang w:bidi="ar"/>
        </w:rPr>
        <w:t>的性质、时间和范围</w:t>
      </w:r>
      <w:r>
        <w:rPr>
          <w:rFonts w:hint="eastAsia" w:ascii="仿宋_GB2312" w:hAnsi="仿宋" w:eastAsia="仿宋_GB2312" w:cs="仿宋"/>
          <w:bCs/>
          <w:sz w:val="32"/>
          <w:szCs w:val="32"/>
          <w:lang w:bidi="ar"/>
        </w:rPr>
        <w:t>。</w:t>
      </w:r>
    </w:p>
    <w:p w14:paraId="00CF379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 w:eastAsia="仿宋_GB2312" w:cs="仿宋"/>
          <w:b/>
          <w:bCs/>
          <w:sz w:val="32"/>
          <w:szCs w:val="32"/>
          <w:lang w:bidi="ar"/>
        </w:rPr>
      </w:pPr>
      <w:r>
        <w:rPr>
          <w:rFonts w:hint="eastAsia" w:ascii="仿宋_GB2312" w:hAnsi="仿宋" w:eastAsia="仿宋_GB2312" w:cs="仿宋"/>
          <w:b/>
          <w:bCs/>
          <w:sz w:val="32"/>
          <w:szCs w:val="32"/>
          <w:lang w:bidi="ar"/>
        </w:rPr>
        <w:t>3.参考依据</w:t>
      </w:r>
    </w:p>
    <w:p w14:paraId="223D06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bCs/>
          <w:sz w:val="32"/>
          <w:szCs w:val="32"/>
          <w:lang w:bidi="ar"/>
        </w:rPr>
      </w:pPr>
      <w:r>
        <w:rPr>
          <w:rFonts w:hint="eastAsia" w:ascii="仿宋_GB2312" w:hAnsi="仿宋" w:eastAsia="仿宋_GB2312" w:cs="仿宋"/>
          <w:bCs/>
          <w:sz w:val="32"/>
          <w:szCs w:val="32"/>
          <w:lang w:bidi="ar"/>
        </w:rPr>
        <w:t>《中国注册会计师鉴证业务基本准则》第二条“鉴证业务包括历史财务信息审计业务、历史财务信息审阅业务和其他鉴证业务。注册会计师执行历史财务信息审计业务、历史财务信息审阅业务和其他鉴证业务时，应当遵守本准则以及依据本准则制定的审计准则、审阅准则和其他鉴证业务准则”、第八条“鉴证业务的保证程度分为合理保证和有限保证。合理保证的鉴证业务的目标是注册会计师将鉴证业务风险降至该业务环境下可接受的低水平，以此作为以积极方式提出结论的基础。如在历史财务信息审计中，要求注册会计师将审计风险降至可接受的低水平，对审计后的历史财务信息提供高水平保证（合理保证），在审计报告中对历史财务信息采用积极方式提出结论。这种业务属于合理保证的鉴证业务”、第九条“在接受委托前，注册会计师应当初步了解业务环境。业务环境包括业务约定事项、鉴证对象特征、使用的标准、预期使用者的需求、责任方及其环境的相关特征，以及可能对鉴证业务产生重大影响的事项、交易、条件和惯例等其他事项”、第十条“在初步了解业务环境后，只有认为符合独立性和专业胜任能力等相关职业道德规范的要求，并且拟承接的业务具备下列所有特征，注册会计师才能将其作为鉴证业务予以承接：</w:t>
      </w:r>
      <w:r>
        <w:rPr>
          <w:rFonts w:ascii="仿宋_GB2312" w:hAnsi="仿宋" w:eastAsia="仿宋_GB2312" w:cs="仿宋"/>
          <w:bCs/>
          <w:sz w:val="32"/>
          <w:szCs w:val="32"/>
          <w:lang w:bidi="ar"/>
        </w:rPr>
        <w:t>……</w:t>
      </w:r>
      <w:r>
        <w:rPr>
          <w:rFonts w:hint="eastAsia" w:ascii="仿宋_GB2312" w:hAnsi="仿宋" w:eastAsia="仿宋_GB2312" w:cs="仿宋"/>
          <w:bCs/>
          <w:sz w:val="32"/>
          <w:szCs w:val="32"/>
          <w:lang w:bidi="ar"/>
        </w:rPr>
        <w:t>”、第二十条“当鉴证业务服务于特定的使用者，或具有特定目的时，注册会计师应当考虑在鉴证报告中注明该报告的特定使用者或特定目的，对报告的用途加以限定”、第二十八条</w:t>
      </w:r>
      <w:r>
        <w:rPr>
          <w:rFonts w:ascii="仿宋_GB2312" w:hAnsi="仿宋" w:eastAsia="仿宋_GB2312" w:cs="仿宋"/>
          <w:bCs/>
          <w:sz w:val="32"/>
          <w:szCs w:val="32"/>
          <w:lang w:bidi="ar"/>
        </w:rPr>
        <w:t>“注册会计师应当以职业怀疑态度计划和执行鉴证</w:t>
      </w:r>
      <w:r>
        <w:rPr>
          <w:rFonts w:hint="eastAsia" w:ascii="仿宋_GB2312" w:hAnsi="仿宋" w:eastAsia="仿宋_GB2312" w:cs="仿宋"/>
          <w:bCs/>
          <w:sz w:val="32"/>
          <w:szCs w:val="32"/>
          <w:lang w:bidi="ar"/>
        </w:rPr>
        <w:t>业务，获取有关鉴证对象信息是否不存在重大错报的充分、适当的证据。</w:t>
      </w:r>
      <w:r>
        <w:rPr>
          <w:rFonts w:ascii="仿宋_GB2312" w:hAnsi="仿宋" w:eastAsia="仿宋_GB2312" w:cs="仿宋"/>
          <w:bCs/>
          <w:sz w:val="32"/>
          <w:szCs w:val="32"/>
          <w:lang w:bidi="ar"/>
        </w:rPr>
        <w:t xml:space="preserve"> </w:t>
      </w:r>
      <w:r>
        <w:rPr>
          <w:rFonts w:hint="eastAsia" w:ascii="仿宋_GB2312" w:hAnsi="仿宋" w:eastAsia="仿宋_GB2312" w:cs="仿宋"/>
          <w:bCs/>
          <w:sz w:val="32"/>
          <w:szCs w:val="32"/>
          <w:lang w:bidi="ar"/>
        </w:rPr>
        <w:t>注册会计师应当及时对制定的计划、实施的程序、获取的相关证据以及得出的结论作出记录</w:t>
      </w:r>
      <w:r>
        <w:rPr>
          <w:rFonts w:ascii="仿宋_GB2312" w:hAnsi="仿宋" w:eastAsia="仿宋_GB2312" w:cs="仿宋"/>
          <w:bCs/>
          <w:sz w:val="32"/>
          <w:szCs w:val="32"/>
          <w:lang w:bidi="ar"/>
        </w:rPr>
        <w:t>”</w:t>
      </w:r>
      <w:r>
        <w:rPr>
          <w:rFonts w:hint="eastAsia" w:ascii="仿宋_GB2312" w:hAnsi="仿宋" w:eastAsia="仿宋_GB2312" w:cs="仿宋"/>
          <w:bCs/>
          <w:sz w:val="32"/>
          <w:szCs w:val="32"/>
          <w:lang w:bidi="ar"/>
        </w:rPr>
        <w:t>、第二十九条“注册会计师在计划和执行鉴证业务，尤其在确定证据收集程序的性质、时间和范围时，应当考虑重要性、鉴证业务风险以及可获取证据的数量和质量”及第四十二条“</w:t>
      </w:r>
      <w:r>
        <w:rPr>
          <w:rFonts w:ascii="仿宋_GB2312" w:hAnsi="仿宋" w:eastAsia="仿宋_GB2312" w:cs="仿宋"/>
          <w:bCs/>
          <w:sz w:val="32"/>
          <w:szCs w:val="32"/>
          <w:lang w:bidi="ar"/>
        </w:rPr>
        <w:t>在合理保证的鉴证业务中，为了能够以积极方式提</w:t>
      </w:r>
      <w:r>
        <w:rPr>
          <w:rFonts w:hint="eastAsia" w:ascii="仿宋_GB2312" w:hAnsi="仿宋" w:eastAsia="仿宋_GB2312" w:cs="仿宋"/>
          <w:bCs/>
          <w:sz w:val="32"/>
          <w:szCs w:val="32"/>
          <w:lang w:bidi="ar"/>
        </w:rPr>
        <w:t>出结论，注册会计师应当通过下列不断修正的、系统化的执业过程，获取充分、适当的证据：（一）了解鉴证对象及其他的业务环境事项，在适用的情况下包括了解内部控制；（二）在了解鉴证对象及其他的业务环境事项的基础上，评估鉴证对象信息可能存在的重大错报风险；（三）应对评估的风险，包括制定总体应对措施以及确定进一步程序的性质、时间和范围；（四）针对已识别的风险实施进一步程序，包括实施实质性程序，以及在必要时测试控制运行的有效性；</w:t>
      </w:r>
      <w:r>
        <w:rPr>
          <w:rFonts w:ascii="仿宋_GB2312" w:hAnsi="仿宋" w:eastAsia="仿宋_GB2312" w:cs="仿宋"/>
          <w:bCs/>
          <w:sz w:val="32"/>
          <w:szCs w:val="32"/>
          <w:lang w:bidi="ar"/>
        </w:rPr>
        <w:t xml:space="preserve"> </w:t>
      </w:r>
      <w:r>
        <w:rPr>
          <w:rFonts w:hint="eastAsia" w:ascii="仿宋_GB2312" w:hAnsi="仿宋" w:eastAsia="仿宋_GB2312" w:cs="仿宋"/>
          <w:bCs/>
          <w:sz w:val="32"/>
          <w:szCs w:val="32"/>
          <w:lang w:bidi="ar"/>
        </w:rPr>
        <w:t>（五）评价证据的充分性和适当性”。</w:t>
      </w:r>
      <w:bookmarkStart w:id="6" w:name="29089608-30569356-1_2"/>
      <w:bookmarkEnd w:id="6"/>
      <w:bookmarkStart w:id="7" w:name="29089608-30569356-1_3"/>
      <w:bookmarkEnd w:id="7"/>
      <w:bookmarkStart w:id="8" w:name="29089608-30569356-1_4"/>
      <w:bookmarkEnd w:id="8"/>
    </w:p>
    <w:p w14:paraId="76C4BCBA">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 w:eastAsia="仿宋_GB2312" w:cs="仿宋"/>
          <w:bCs/>
          <w:sz w:val="32"/>
          <w:szCs w:val="32"/>
          <w:lang w:bidi="ar"/>
        </w:rPr>
      </w:pPr>
    </w:p>
    <w:p w14:paraId="360DA3F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48"/>
        </w:rPr>
      </w:pPr>
    </w:p>
    <w:p w14:paraId="02A35965">
      <w:pPr>
        <w:keepNext w:val="0"/>
        <w:keepLines w:val="0"/>
        <w:pageBreakBefore w:val="0"/>
        <w:widowControl w:val="0"/>
        <w:kinsoku/>
        <w:wordWrap/>
        <w:overflowPunct/>
        <w:topLinePunct w:val="0"/>
        <w:autoSpaceDE/>
        <w:autoSpaceDN/>
        <w:bidi w:val="0"/>
        <w:adjustRightInd/>
        <w:snapToGrid/>
        <w:spacing w:line="600" w:lineRule="exact"/>
        <w:ind w:firstLine="4000" w:firstLineChars="1250"/>
        <w:textAlignment w:val="auto"/>
        <w:rPr>
          <w:rFonts w:hint="eastAsia" w:ascii="仿宋_GB2312" w:eastAsia="仿宋_GB2312"/>
          <w:sz w:val="32"/>
          <w:szCs w:val="48"/>
        </w:rPr>
      </w:pPr>
    </w:p>
    <w:p w14:paraId="1FDC6D6A">
      <w:pPr>
        <w:keepNext w:val="0"/>
        <w:keepLines w:val="0"/>
        <w:pageBreakBefore w:val="0"/>
        <w:widowControl w:val="0"/>
        <w:kinsoku/>
        <w:wordWrap/>
        <w:overflowPunct/>
        <w:topLinePunct w:val="0"/>
        <w:autoSpaceDE/>
        <w:autoSpaceDN/>
        <w:bidi w:val="0"/>
        <w:adjustRightInd/>
        <w:snapToGrid/>
        <w:spacing w:line="600" w:lineRule="exact"/>
        <w:ind w:firstLine="4000" w:firstLineChars="1250"/>
        <w:textAlignment w:val="auto"/>
        <w:rPr>
          <w:rFonts w:hint="eastAsia" w:ascii="仿宋_GB2312" w:eastAsia="仿宋_GB2312"/>
          <w:sz w:val="32"/>
          <w:szCs w:val="48"/>
        </w:rPr>
      </w:pPr>
      <w:r>
        <w:rPr>
          <w:rFonts w:hint="eastAsia" w:ascii="仿宋_GB2312" w:eastAsia="仿宋_GB2312"/>
          <w:sz w:val="32"/>
          <w:szCs w:val="48"/>
        </w:rPr>
        <w:t xml:space="preserve"> 山东省注册会计师协会   </w:t>
      </w:r>
    </w:p>
    <w:p w14:paraId="7FC94F3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48"/>
        </w:rPr>
      </w:pPr>
      <w:r>
        <w:rPr>
          <w:rFonts w:hint="eastAsia" w:ascii="仿宋_GB2312" w:eastAsia="仿宋_GB2312"/>
          <w:sz w:val="32"/>
          <w:szCs w:val="48"/>
        </w:rPr>
        <w:t xml:space="preserve">                        202</w:t>
      </w:r>
      <w:r>
        <w:rPr>
          <w:rFonts w:hint="eastAsia" w:ascii="仿宋_GB2312" w:eastAsia="仿宋_GB2312"/>
          <w:sz w:val="32"/>
          <w:szCs w:val="48"/>
          <w:lang w:val="en-US" w:eastAsia="zh-CN"/>
        </w:rPr>
        <w:t>5</w:t>
      </w:r>
      <w:r>
        <w:rPr>
          <w:rFonts w:hint="eastAsia" w:ascii="仿宋_GB2312" w:eastAsia="仿宋_GB2312"/>
          <w:sz w:val="32"/>
          <w:szCs w:val="48"/>
        </w:rPr>
        <w:t>年</w:t>
      </w:r>
      <w:r>
        <w:rPr>
          <w:rFonts w:hint="eastAsia" w:ascii="仿宋_GB2312" w:eastAsia="仿宋_GB2312"/>
          <w:sz w:val="32"/>
          <w:szCs w:val="48"/>
          <w:lang w:val="en-US" w:eastAsia="zh-CN"/>
        </w:rPr>
        <w:t>2</w:t>
      </w:r>
      <w:r>
        <w:rPr>
          <w:rFonts w:hint="eastAsia" w:ascii="仿宋_GB2312" w:eastAsia="仿宋_GB2312"/>
          <w:sz w:val="32"/>
          <w:szCs w:val="48"/>
        </w:rPr>
        <w:t>月</w:t>
      </w:r>
      <w:r>
        <w:rPr>
          <w:rFonts w:hint="eastAsia" w:ascii="仿宋_GB2312" w:eastAsia="仿宋_GB2312"/>
          <w:sz w:val="32"/>
          <w:szCs w:val="48"/>
          <w:lang w:val="en-US" w:eastAsia="zh-CN"/>
        </w:rPr>
        <w:t>17</w:t>
      </w:r>
      <w:r>
        <w:rPr>
          <w:rFonts w:hint="eastAsia" w:ascii="仿宋_GB2312" w:eastAsia="仿宋_GB2312"/>
          <w:sz w:val="32"/>
          <w:szCs w:val="48"/>
        </w:rPr>
        <w:t>日</w:t>
      </w:r>
    </w:p>
    <w:p w14:paraId="4852CB62">
      <w:pPr>
        <w:spacing w:line="600" w:lineRule="exact"/>
        <w:ind w:firstLine="640" w:firstLineChars="200"/>
        <w:rPr>
          <w:rFonts w:hint="default" w:ascii="仿宋_GB2312" w:hAnsi="宋体" w:eastAsia="仿宋_GB2312"/>
          <w:bCs/>
          <w:sz w:val="32"/>
          <w:szCs w:val="32"/>
          <w:lang w:val="en-US" w:eastAsia="zh-CN"/>
        </w:rPr>
      </w:pPr>
    </w:p>
    <w:sectPr>
      <w:footerReference r:id="rId3" w:type="default"/>
      <w:pgSz w:w="11906" w:h="16838"/>
      <w:pgMar w:top="1701" w:right="1361" w:bottom="1701" w:left="1531" w:header="851" w:footer="66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5022DE-7CFD-4F08-A890-BA62D3898A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679E931-49A7-4BCF-B643-5AE4DB5CEFE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74844725-E3C5-4BDF-A708-6A6999DD57DF}"/>
  </w:font>
  <w:font w:name="文星简仿宋">
    <w:altName w:val="仿宋"/>
    <w:panose1 w:val="0201060900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4" w:fontKey="{42A07FF5-9330-4E1B-BBC0-718A443CC7DA}"/>
  </w:font>
  <w:font w:name="方正大标宋简体">
    <w:panose1 w:val="02000000000000000000"/>
    <w:charset w:val="86"/>
    <w:family w:val="script"/>
    <w:pitch w:val="default"/>
    <w:sig w:usb0="00000001" w:usb1="080E0000" w:usb2="00000000" w:usb3="00000000" w:csb0="00040000" w:csb1="00000000"/>
    <w:embedRegular r:id="rId5" w:fontKey="{337D2DC6-8547-4070-9CF8-6B77185A3442}"/>
  </w:font>
  <w:font w:name="楷体_GB2312">
    <w:panose1 w:val="02010609030101010101"/>
    <w:charset w:val="86"/>
    <w:family w:val="modern"/>
    <w:pitch w:val="default"/>
    <w:sig w:usb0="00000001" w:usb1="080E0000" w:usb2="00000000" w:usb3="00000000" w:csb0="00040000" w:csb1="00000000"/>
    <w:embedRegular r:id="rId6" w:fontKey="{83FEEE92-F338-49F8-8339-4EDC6E9FB8E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091AB">
    <w:pPr>
      <w:pStyle w:val="8"/>
      <w:jc w:val="center"/>
    </w:pPr>
    <w:r>
      <w:fldChar w:fldCharType="begin"/>
    </w:r>
    <w:r>
      <w:instrText xml:space="preserve"> PAGE   \* MERGEFORMAT </w:instrText>
    </w:r>
    <w:r>
      <w:fldChar w:fldCharType="separate"/>
    </w:r>
    <w:r>
      <w:rPr>
        <w:lang w:val="zh-CN"/>
      </w:rPr>
      <w:t>1</w:t>
    </w:r>
    <w:r>
      <w:rPr>
        <w:lang w:val="zh-CN"/>
      </w:rPr>
      <w:fldChar w:fldCharType="end"/>
    </w:r>
  </w:p>
  <w:p w14:paraId="7484BDDB">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wNDZiM2FiN2QyOWU1NDA2YjJmMDU4NmEwN2NkOTUifQ=="/>
  </w:docVars>
  <w:rsids>
    <w:rsidRoot w:val="00B837A3"/>
    <w:rsid w:val="00001589"/>
    <w:rsid w:val="00001C2A"/>
    <w:rsid w:val="00002E85"/>
    <w:rsid w:val="00002F2B"/>
    <w:rsid w:val="00003A85"/>
    <w:rsid w:val="00003D5F"/>
    <w:rsid w:val="000043BB"/>
    <w:rsid w:val="00004959"/>
    <w:rsid w:val="00004D81"/>
    <w:rsid w:val="0000538B"/>
    <w:rsid w:val="00005817"/>
    <w:rsid w:val="00005A36"/>
    <w:rsid w:val="000077EA"/>
    <w:rsid w:val="00007B3D"/>
    <w:rsid w:val="000105A6"/>
    <w:rsid w:val="00010AFC"/>
    <w:rsid w:val="0001115A"/>
    <w:rsid w:val="000119BD"/>
    <w:rsid w:val="00011A0A"/>
    <w:rsid w:val="00012A91"/>
    <w:rsid w:val="00014B3F"/>
    <w:rsid w:val="00016523"/>
    <w:rsid w:val="000165A5"/>
    <w:rsid w:val="00016D71"/>
    <w:rsid w:val="00017188"/>
    <w:rsid w:val="00020171"/>
    <w:rsid w:val="00020554"/>
    <w:rsid w:val="000209DA"/>
    <w:rsid w:val="00020B57"/>
    <w:rsid w:val="00020CCA"/>
    <w:rsid w:val="00021480"/>
    <w:rsid w:val="00023749"/>
    <w:rsid w:val="000241ED"/>
    <w:rsid w:val="00024CB9"/>
    <w:rsid w:val="000253D3"/>
    <w:rsid w:val="00025567"/>
    <w:rsid w:val="000257B1"/>
    <w:rsid w:val="00025A70"/>
    <w:rsid w:val="00025A85"/>
    <w:rsid w:val="000267F4"/>
    <w:rsid w:val="00026E61"/>
    <w:rsid w:val="00027670"/>
    <w:rsid w:val="000278AF"/>
    <w:rsid w:val="0003029A"/>
    <w:rsid w:val="000303F0"/>
    <w:rsid w:val="000324A4"/>
    <w:rsid w:val="00032F54"/>
    <w:rsid w:val="00033388"/>
    <w:rsid w:val="00033742"/>
    <w:rsid w:val="00033D00"/>
    <w:rsid w:val="00034415"/>
    <w:rsid w:val="00034FC2"/>
    <w:rsid w:val="000355C3"/>
    <w:rsid w:val="0003616F"/>
    <w:rsid w:val="000403B5"/>
    <w:rsid w:val="000408AC"/>
    <w:rsid w:val="000411B8"/>
    <w:rsid w:val="00042BAC"/>
    <w:rsid w:val="0004315D"/>
    <w:rsid w:val="000444E8"/>
    <w:rsid w:val="000462A1"/>
    <w:rsid w:val="00047991"/>
    <w:rsid w:val="00047F65"/>
    <w:rsid w:val="000513AF"/>
    <w:rsid w:val="000519C0"/>
    <w:rsid w:val="00052FDB"/>
    <w:rsid w:val="0005357D"/>
    <w:rsid w:val="00054EE1"/>
    <w:rsid w:val="000550C6"/>
    <w:rsid w:val="00055803"/>
    <w:rsid w:val="00056DD0"/>
    <w:rsid w:val="00056F8F"/>
    <w:rsid w:val="00060879"/>
    <w:rsid w:val="00060D42"/>
    <w:rsid w:val="00060E13"/>
    <w:rsid w:val="000610D7"/>
    <w:rsid w:val="00061EC1"/>
    <w:rsid w:val="00061F6C"/>
    <w:rsid w:val="000622FA"/>
    <w:rsid w:val="000624C4"/>
    <w:rsid w:val="00063591"/>
    <w:rsid w:val="00063884"/>
    <w:rsid w:val="00063A59"/>
    <w:rsid w:val="00064962"/>
    <w:rsid w:val="00065287"/>
    <w:rsid w:val="0006592B"/>
    <w:rsid w:val="00066273"/>
    <w:rsid w:val="00066760"/>
    <w:rsid w:val="00070476"/>
    <w:rsid w:val="00070FB7"/>
    <w:rsid w:val="00071758"/>
    <w:rsid w:val="0007220A"/>
    <w:rsid w:val="00073004"/>
    <w:rsid w:val="00073045"/>
    <w:rsid w:val="000730E1"/>
    <w:rsid w:val="000735E2"/>
    <w:rsid w:val="00073945"/>
    <w:rsid w:val="00074882"/>
    <w:rsid w:val="00074B70"/>
    <w:rsid w:val="00075B56"/>
    <w:rsid w:val="00075B9C"/>
    <w:rsid w:val="00075C1A"/>
    <w:rsid w:val="000761DD"/>
    <w:rsid w:val="00076F44"/>
    <w:rsid w:val="00080683"/>
    <w:rsid w:val="0008179B"/>
    <w:rsid w:val="00081A6A"/>
    <w:rsid w:val="00081DE1"/>
    <w:rsid w:val="00082EA5"/>
    <w:rsid w:val="000837BB"/>
    <w:rsid w:val="00083B9A"/>
    <w:rsid w:val="00083C03"/>
    <w:rsid w:val="00083DF7"/>
    <w:rsid w:val="00083FF9"/>
    <w:rsid w:val="000840CA"/>
    <w:rsid w:val="00084372"/>
    <w:rsid w:val="00084D30"/>
    <w:rsid w:val="00085AB8"/>
    <w:rsid w:val="00086592"/>
    <w:rsid w:val="00086E7C"/>
    <w:rsid w:val="00087AF4"/>
    <w:rsid w:val="00087C94"/>
    <w:rsid w:val="00090039"/>
    <w:rsid w:val="00090143"/>
    <w:rsid w:val="0009022E"/>
    <w:rsid w:val="00090649"/>
    <w:rsid w:val="00090910"/>
    <w:rsid w:val="00090EA7"/>
    <w:rsid w:val="000916F3"/>
    <w:rsid w:val="00091AD2"/>
    <w:rsid w:val="0009307D"/>
    <w:rsid w:val="00095767"/>
    <w:rsid w:val="000959F7"/>
    <w:rsid w:val="00095C82"/>
    <w:rsid w:val="00095FB6"/>
    <w:rsid w:val="00096563"/>
    <w:rsid w:val="000974B3"/>
    <w:rsid w:val="000977F1"/>
    <w:rsid w:val="00097D17"/>
    <w:rsid w:val="00097DE9"/>
    <w:rsid w:val="000A03EB"/>
    <w:rsid w:val="000A1A95"/>
    <w:rsid w:val="000A2175"/>
    <w:rsid w:val="000A225B"/>
    <w:rsid w:val="000A233F"/>
    <w:rsid w:val="000A244D"/>
    <w:rsid w:val="000A397A"/>
    <w:rsid w:val="000A3AC8"/>
    <w:rsid w:val="000A47FA"/>
    <w:rsid w:val="000A6708"/>
    <w:rsid w:val="000A7525"/>
    <w:rsid w:val="000B0C47"/>
    <w:rsid w:val="000B0D16"/>
    <w:rsid w:val="000B134D"/>
    <w:rsid w:val="000B13AD"/>
    <w:rsid w:val="000B232E"/>
    <w:rsid w:val="000B2E8F"/>
    <w:rsid w:val="000B4B56"/>
    <w:rsid w:val="000B4E59"/>
    <w:rsid w:val="000B5133"/>
    <w:rsid w:val="000B553D"/>
    <w:rsid w:val="000B56A3"/>
    <w:rsid w:val="000B6905"/>
    <w:rsid w:val="000B7DC3"/>
    <w:rsid w:val="000C01A9"/>
    <w:rsid w:val="000C0353"/>
    <w:rsid w:val="000C10C2"/>
    <w:rsid w:val="000C2CE0"/>
    <w:rsid w:val="000C3A2B"/>
    <w:rsid w:val="000C3AAE"/>
    <w:rsid w:val="000C4051"/>
    <w:rsid w:val="000C406A"/>
    <w:rsid w:val="000C50B0"/>
    <w:rsid w:val="000C5465"/>
    <w:rsid w:val="000C5FCF"/>
    <w:rsid w:val="000C6989"/>
    <w:rsid w:val="000C69AB"/>
    <w:rsid w:val="000C7170"/>
    <w:rsid w:val="000C747D"/>
    <w:rsid w:val="000C757F"/>
    <w:rsid w:val="000C7A7A"/>
    <w:rsid w:val="000C7C5D"/>
    <w:rsid w:val="000D072E"/>
    <w:rsid w:val="000D0BF8"/>
    <w:rsid w:val="000D1DB3"/>
    <w:rsid w:val="000D26EB"/>
    <w:rsid w:val="000D2A09"/>
    <w:rsid w:val="000D326E"/>
    <w:rsid w:val="000D4103"/>
    <w:rsid w:val="000D41FB"/>
    <w:rsid w:val="000D4B0A"/>
    <w:rsid w:val="000D4CC5"/>
    <w:rsid w:val="000D53FC"/>
    <w:rsid w:val="000D6760"/>
    <w:rsid w:val="000D68ED"/>
    <w:rsid w:val="000D71F6"/>
    <w:rsid w:val="000D72EA"/>
    <w:rsid w:val="000D7EE3"/>
    <w:rsid w:val="000E1096"/>
    <w:rsid w:val="000E10C7"/>
    <w:rsid w:val="000E13B5"/>
    <w:rsid w:val="000E1598"/>
    <w:rsid w:val="000E20D5"/>
    <w:rsid w:val="000E2CFF"/>
    <w:rsid w:val="000E38D3"/>
    <w:rsid w:val="000E47B9"/>
    <w:rsid w:val="000E4DB3"/>
    <w:rsid w:val="000E4DD2"/>
    <w:rsid w:val="000E4ED9"/>
    <w:rsid w:val="000E5A78"/>
    <w:rsid w:val="000E65AE"/>
    <w:rsid w:val="000E66A7"/>
    <w:rsid w:val="000E6DF9"/>
    <w:rsid w:val="000E7A73"/>
    <w:rsid w:val="000F0220"/>
    <w:rsid w:val="000F0B8B"/>
    <w:rsid w:val="000F12CF"/>
    <w:rsid w:val="000F157C"/>
    <w:rsid w:val="000F34AC"/>
    <w:rsid w:val="000F3BD5"/>
    <w:rsid w:val="000F42A9"/>
    <w:rsid w:val="000F4702"/>
    <w:rsid w:val="000F47D0"/>
    <w:rsid w:val="000F491E"/>
    <w:rsid w:val="000F5F7E"/>
    <w:rsid w:val="000F626C"/>
    <w:rsid w:val="000F683A"/>
    <w:rsid w:val="000F68CC"/>
    <w:rsid w:val="000F6C91"/>
    <w:rsid w:val="000F6D97"/>
    <w:rsid w:val="000F74F8"/>
    <w:rsid w:val="000F75D3"/>
    <w:rsid w:val="0010000C"/>
    <w:rsid w:val="0010061B"/>
    <w:rsid w:val="0010105C"/>
    <w:rsid w:val="001021F2"/>
    <w:rsid w:val="00103556"/>
    <w:rsid w:val="001037F1"/>
    <w:rsid w:val="00103F1F"/>
    <w:rsid w:val="001042B5"/>
    <w:rsid w:val="00104B24"/>
    <w:rsid w:val="00105374"/>
    <w:rsid w:val="0010571C"/>
    <w:rsid w:val="00105BD6"/>
    <w:rsid w:val="00105F2E"/>
    <w:rsid w:val="00106DF9"/>
    <w:rsid w:val="00107130"/>
    <w:rsid w:val="00107D1D"/>
    <w:rsid w:val="0011047C"/>
    <w:rsid w:val="00110497"/>
    <w:rsid w:val="0011098A"/>
    <w:rsid w:val="0011176F"/>
    <w:rsid w:val="001125FF"/>
    <w:rsid w:val="001135BA"/>
    <w:rsid w:val="00113990"/>
    <w:rsid w:val="00114929"/>
    <w:rsid w:val="00114C06"/>
    <w:rsid w:val="001153E0"/>
    <w:rsid w:val="00115ED0"/>
    <w:rsid w:val="00117E55"/>
    <w:rsid w:val="001201F3"/>
    <w:rsid w:val="00120AE8"/>
    <w:rsid w:val="00120F58"/>
    <w:rsid w:val="00122669"/>
    <w:rsid w:val="00122849"/>
    <w:rsid w:val="00122BF4"/>
    <w:rsid w:val="001242A2"/>
    <w:rsid w:val="00125D3F"/>
    <w:rsid w:val="00125F3E"/>
    <w:rsid w:val="00126914"/>
    <w:rsid w:val="0012793F"/>
    <w:rsid w:val="00127BD8"/>
    <w:rsid w:val="00127C26"/>
    <w:rsid w:val="00127E73"/>
    <w:rsid w:val="001302FD"/>
    <w:rsid w:val="00130D67"/>
    <w:rsid w:val="00131158"/>
    <w:rsid w:val="001315A4"/>
    <w:rsid w:val="00131686"/>
    <w:rsid w:val="001320EF"/>
    <w:rsid w:val="0013230E"/>
    <w:rsid w:val="00132894"/>
    <w:rsid w:val="00133C07"/>
    <w:rsid w:val="00134604"/>
    <w:rsid w:val="00134EBE"/>
    <w:rsid w:val="00134F57"/>
    <w:rsid w:val="00135A24"/>
    <w:rsid w:val="00135A50"/>
    <w:rsid w:val="0013687D"/>
    <w:rsid w:val="001400F3"/>
    <w:rsid w:val="001403D1"/>
    <w:rsid w:val="001407C8"/>
    <w:rsid w:val="00140D2B"/>
    <w:rsid w:val="00140DE3"/>
    <w:rsid w:val="00140FCA"/>
    <w:rsid w:val="001414BE"/>
    <w:rsid w:val="001417D3"/>
    <w:rsid w:val="00141B5B"/>
    <w:rsid w:val="00141F4B"/>
    <w:rsid w:val="00142D19"/>
    <w:rsid w:val="00142E82"/>
    <w:rsid w:val="0014395F"/>
    <w:rsid w:val="0014413A"/>
    <w:rsid w:val="00144171"/>
    <w:rsid w:val="00145D9B"/>
    <w:rsid w:val="00145F37"/>
    <w:rsid w:val="001461C9"/>
    <w:rsid w:val="00146745"/>
    <w:rsid w:val="00146A04"/>
    <w:rsid w:val="00146FBB"/>
    <w:rsid w:val="00147EC3"/>
    <w:rsid w:val="00150369"/>
    <w:rsid w:val="00150539"/>
    <w:rsid w:val="00150640"/>
    <w:rsid w:val="00150AB5"/>
    <w:rsid w:val="00150F92"/>
    <w:rsid w:val="00152423"/>
    <w:rsid w:val="00152D09"/>
    <w:rsid w:val="00153C8E"/>
    <w:rsid w:val="00153D6E"/>
    <w:rsid w:val="00154268"/>
    <w:rsid w:val="001542BA"/>
    <w:rsid w:val="001555D0"/>
    <w:rsid w:val="00157185"/>
    <w:rsid w:val="00157AA2"/>
    <w:rsid w:val="001603F7"/>
    <w:rsid w:val="001608A5"/>
    <w:rsid w:val="00160F0C"/>
    <w:rsid w:val="00162A85"/>
    <w:rsid w:val="001633CC"/>
    <w:rsid w:val="00163AC1"/>
    <w:rsid w:val="001643A8"/>
    <w:rsid w:val="0016484B"/>
    <w:rsid w:val="00164C14"/>
    <w:rsid w:val="00164C9C"/>
    <w:rsid w:val="00164F2E"/>
    <w:rsid w:val="00164F33"/>
    <w:rsid w:val="00166221"/>
    <w:rsid w:val="001671D4"/>
    <w:rsid w:val="00167772"/>
    <w:rsid w:val="001705DB"/>
    <w:rsid w:val="00170C90"/>
    <w:rsid w:val="00170F30"/>
    <w:rsid w:val="00171ACD"/>
    <w:rsid w:val="00171FC4"/>
    <w:rsid w:val="001725BF"/>
    <w:rsid w:val="0017329E"/>
    <w:rsid w:val="00174DB1"/>
    <w:rsid w:val="00174DB9"/>
    <w:rsid w:val="00174F66"/>
    <w:rsid w:val="00176D88"/>
    <w:rsid w:val="00177040"/>
    <w:rsid w:val="00177159"/>
    <w:rsid w:val="001777D6"/>
    <w:rsid w:val="00180134"/>
    <w:rsid w:val="0018038C"/>
    <w:rsid w:val="001821EB"/>
    <w:rsid w:val="00182FD2"/>
    <w:rsid w:val="0018327F"/>
    <w:rsid w:val="00183843"/>
    <w:rsid w:val="00183F96"/>
    <w:rsid w:val="00184024"/>
    <w:rsid w:val="001858B9"/>
    <w:rsid w:val="0018619C"/>
    <w:rsid w:val="00186209"/>
    <w:rsid w:val="001875C6"/>
    <w:rsid w:val="00187F96"/>
    <w:rsid w:val="001900CD"/>
    <w:rsid w:val="00190B1F"/>
    <w:rsid w:val="00191702"/>
    <w:rsid w:val="00193712"/>
    <w:rsid w:val="00193872"/>
    <w:rsid w:val="001939F3"/>
    <w:rsid w:val="00193EFF"/>
    <w:rsid w:val="00194BBF"/>
    <w:rsid w:val="00194D7B"/>
    <w:rsid w:val="001956F7"/>
    <w:rsid w:val="00195910"/>
    <w:rsid w:val="00196EC5"/>
    <w:rsid w:val="0019743E"/>
    <w:rsid w:val="0019752C"/>
    <w:rsid w:val="00197644"/>
    <w:rsid w:val="00197C86"/>
    <w:rsid w:val="00197DA2"/>
    <w:rsid w:val="00197F1B"/>
    <w:rsid w:val="001A0261"/>
    <w:rsid w:val="001A0BEF"/>
    <w:rsid w:val="001A0FAE"/>
    <w:rsid w:val="001A1869"/>
    <w:rsid w:val="001A206D"/>
    <w:rsid w:val="001A22FF"/>
    <w:rsid w:val="001A486A"/>
    <w:rsid w:val="001A48BA"/>
    <w:rsid w:val="001A4A99"/>
    <w:rsid w:val="001A6031"/>
    <w:rsid w:val="001A6278"/>
    <w:rsid w:val="001A7323"/>
    <w:rsid w:val="001B0596"/>
    <w:rsid w:val="001B06CD"/>
    <w:rsid w:val="001B160B"/>
    <w:rsid w:val="001B1780"/>
    <w:rsid w:val="001B2B2B"/>
    <w:rsid w:val="001B2F1E"/>
    <w:rsid w:val="001B301D"/>
    <w:rsid w:val="001B312D"/>
    <w:rsid w:val="001B3A9B"/>
    <w:rsid w:val="001B3DEA"/>
    <w:rsid w:val="001B46CB"/>
    <w:rsid w:val="001B5E19"/>
    <w:rsid w:val="001B5E6D"/>
    <w:rsid w:val="001B7884"/>
    <w:rsid w:val="001C0A7B"/>
    <w:rsid w:val="001C1657"/>
    <w:rsid w:val="001C1B13"/>
    <w:rsid w:val="001C1CA1"/>
    <w:rsid w:val="001C1CFD"/>
    <w:rsid w:val="001C1F8E"/>
    <w:rsid w:val="001C245C"/>
    <w:rsid w:val="001C2F65"/>
    <w:rsid w:val="001C39FA"/>
    <w:rsid w:val="001C5371"/>
    <w:rsid w:val="001C58FC"/>
    <w:rsid w:val="001C5D42"/>
    <w:rsid w:val="001C5F0D"/>
    <w:rsid w:val="001C63E1"/>
    <w:rsid w:val="001C6B52"/>
    <w:rsid w:val="001C6F24"/>
    <w:rsid w:val="001C759C"/>
    <w:rsid w:val="001C7D12"/>
    <w:rsid w:val="001C7EEC"/>
    <w:rsid w:val="001D00AB"/>
    <w:rsid w:val="001D0573"/>
    <w:rsid w:val="001D07A0"/>
    <w:rsid w:val="001D3271"/>
    <w:rsid w:val="001D372C"/>
    <w:rsid w:val="001D3A6E"/>
    <w:rsid w:val="001D49CE"/>
    <w:rsid w:val="001D4D11"/>
    <w:rsid w:val="001D5443"/>
    <w:rsid w:val="001D54B7"/>
    <w:rsid w:val="001D57A1"/>
    <w:rsid w:val="001D5A50"/>
    <w:rsid w:val="001D5D6F"/>
    <w:rsid w:val="001D6564"/>
    <w:rsid w:val="001D6B5F"/>
    <w:rsid w:val="001D6B69"/>
    <w:rsid w:val="001D743D"/>
    <w:rsid w:val="001D779A"/>
    <w:rsid w:val="001D7E76"/>
    <w:rsid w:val="001E0B78"/>
    <w:rsid w:val="001E1A44"/>
    <w:rsid w:val="001E1C9B"/>
    <w:rsid w:val="001E269C"/>
    <w:rsid w:val="001E440C"/>
    <w:rsid w:val="001E44B9"/>
    <w:rsid w:val="001E4590"/>
    <w:rsid w:val="001E45B7"/>
    <w:rsid w:val="001E4AC8"/>
    <w:rsid w:val="001E5271"/>
    <w:rsid w:val="001E6652"/>
    <w:rsid w:val="001E6B04"/>
    <w:rsid w:val="001E6BB6"/>
    <w:rsid w:val="001E6C21"/>
    <w:rsid w:val="001E76A0"/>
    <w:rsid w:val="001F001F"/>
    <w:rsid w:val="001F0178"/>
    <w:rsid w:val="001F0433"/>
    <w:rsid w:val="001F09B4"/>
    <w:rsid w:val="001F0AE5"/>
    <w:rsid w:val="001F0B2A"/>
    <w:rsid w:val="001F1FF4"/>
    <w:rsid w:val="001F2137"/>
    <w:rsid w:val="001F2964"/>
    <w:rsid w:val="001F2A8D"/>
    <w:rsid w:val="001F2E11"/>
    <w:rsid w:val="001F2FB7"/>
    <w:rsid w:val="001F3498"/>
    <w:rsid w:val="001F35B6"/>
    <w:rsid w:val="001F3EAD"/>
    <w:rsid w:val="001F3F5E"/>
    <w:rsid w:val="001F420A"/>
    <w:rsid w:val="001F445F"/>
    <w:rsid w:val="001F4E18"/>
    <w:rsid w:val="001F55E3"/>
    <w:rsid w:val="001F56B6"/>
    <w:rsid w:val="001F57F1"/>
    <w:rsid w:val="001F5F79"/>
    <w:rsid w:val="001F6C21"/>
    <w:rsid w:val="001F72FF"/>
    <w:rsid w:val="001F7306"/>
    <w:rsid w:val="001F741D"/>
    <w:rsid w:val="001F7540"/>
    <w:rsid w:val="00200E63"/>
    <w:rsid w:val="00201096"/>
    <w:rsid w:val="002041E5"/>
    <w:rsid w:val="00204BF3"/>
    <w:rsid w:val="0020592C"/>
    <w:rsid w:val="00206716"/>
    <w:rsid w:val="002069CB"/>
    <w:rsid w:val="00207C8F"/>
    <w:rsid w:val="00210539"/>
    <w:rsid w:val="002111A5"/>
    <w:rsid w:val="00211208"/>
    <w:rsid w:val="00211404"/>
    <w:rsid w:val="00211E20"/>
    <w:rsid w:val="00212AF3"/>
    <w:rsid w:val="002131A4"/>
    <w:rsid w:val="0021320A"/>
    <w:rsid w:val="00213BA2"/>
    <w:rsid w:val="00214CCF"/>
    <w:rsid w:val="00215F8F"/>
    <w:rsid w:val="00215FE6"/>
    <w:rsid w:val="0021630A"/>
    <w:rsid w:val="002164C7"/>
    <w:rsid w:val="0021656A"/>
    <w:rsid w:val="002179AF"/>
    <w:rsid w:val="00217D26"/>
    <w:rsid w:val="00217D9A"/>
    <w:rsid w:val="00217E17"/>
    <w:rsid w:val="002206D8"/>
    <w:rsid w:val="002211F0"/>
    <w:rsid w:val="00221497"/>
    <w:rsid w:val="00221BED"/>
    <w:rsid w:val="00222F20"/>
    <w:rsid w:val="00223608"/>
    <w:rsid w:val="002238AC"/>
    <w:rsid w:val="00223A49"/>
    <w:rsid w:val="00224D93"/>
    <w:rsid w:val="0022516B"/>
    <w:rsid w:val="0022587B"/>
    <w:rsid w:val="00226637"/>
    <w:rsid w:val="00226A42"/>
    <w:rsid w:val="00226B51"/>
    <w:rsid w:val="00226F09"/>
    <w:rsid w:val="00227010"/>
    <w:rsid w:val="00227271"/>
    <w:rsid w:val="00227679"/>
    <w:rsid w:val="00227BD3"/>
    <w:rsid w:val="00227ECA"/>
    <w:rsid w:val="00230246"/>
    <w:rsid w:val="002307E9"/>
    <w:rsid w:val="00231229"/>
    <w:rsid w:val="00232645"/>
    <w:rsid w:val="00234B4F"/>
    <w:rsid w:val="00234CCF"/>
    <w:rsid w:val="00234F76"/>
    <w:rsid w:val="002351BF"/>
    <w:rsid w:val="002352F5"/>
    <w:rsid w:val="0023555D"/>
    <w:rsid w:val="00235B0B"/>
    <w:rsid w:val="00235FA1"/>
    <w:rsid w:val="0023713B"/>
    <w:rsid w:val="00237E0C"/>
    <w:rsid w:val="00237E22"/>
    <w:rsid w:val="00240902"/>
    <w:rsid w:val="00241867"/>
    <w:rsid w:val="00241C52"/>
    <w:rsid w:val="002424BA"/>
    <w:rsid w:val="0024271D"/>
    <w:rsid w:val="00243004"/>
    <w:rsid w:val="00245CF8"/>
    <w:rsid w:val="00245E7D"/>
    <w:rsid w:val="00246F71"/>
    <w:rsid w:val="00246FE6"/>
    <w:rsid w:val="002470C1"/>
    <w:rsid w:val="00247111"/>
    <w:rsid w:val="0024781E"/>
    <w:rsid w:val="00250CB6"/>
    <w:rsid w:val="00250EE8"/>
    <w:rsid w:val="002519FE"/>
    <w:rsid w:val="00252375"/>
    <w:rsid w:val="00252A75"/>
    <w:rsid w:val="0025319A"/>
    <w:rsid w:val="00253842"/>
    <w:rsid w:val="00253A68"/>
    <w:rsid w:val="00254171"/>
    <w:rsid w:val="0025440F"/>
    <w:rsid w:val="00254EEC"/>
    <w:rsid w:val="0025541D"/>
    <w:rsid w:val="0025587E"/>
    <w:rsid w:val="00255BB0"/>
    <w:rsid w:val="00256050"/>
    <w:rsid w:val="00257589"/>
    <w:rsid w:val="002609DE"/>
    <w:rsid w:val="00260A72"/>
    <w:rsid w:val="0026199A"/>
    <w:rsid w:val="00261A84"/>
    <w:rsid w:val="002626C0"/>
    <w:rsid w:val="002629BA"/>
    <w:rsid w:val="00262EE9"/>
    <w:rsid w:val="00263672"/>
    <w:rsid w:val="00263FBC"/>
    <w:rsid w:val="002651D3"/>
    <w:rsid w:val="002659CF"/>
    <w:rsid w:val="00265AAF"/>
    <w:rsid w:val="00266625"/>
    <w:rsid w:val="00266BD9"/>
    <w:rsid w:val="00266E93"/>
    <w:rsid w:val="00267362"/>
    <w:rsid w:val="002676F7"/>
    <w:rsid w:val="00267BB5"/>
    <w:rsid w:val="0027043C"/>
    <w:rsid w:val="002705BF"/>
    <w:rsid w:val="00270B74"/>
    <w:rsid w:val="00271123"/>
    <w:rsid w:val="002721C6"/>
    <w:rsid w:val="00272845"/>
    <w:rsid w:val="00272997"/>
    <w:rsid w:val="00272D26"/>
    <w:rsid w:val="00272E79"/>
    <w:rsid w:val="002731DB"/>
    <w:rsid w:val="00273D6D"/>
    <w:rsid w:val="0027487C"/>
    <w:rsid w:val="00274955"/>
    <w:rsid w:val="002754C2"/>
    <w:rsid w:val="00275532"/>
    <w:rsid w:val="0027680B"/>
    <w:rsid w:val="002770E8"/>
    <w:rsid w:val="00277554"/>
    <w:rsid w:val="0028231B"/>
    <w:rsid w:val="002824AD"/>
    <w:rsid w:val="002826FB"/>
    <w:rsid w:val="00283C67"/>
    <w:rsid w:val="00283E0E"/>
    <w:rsid w:val="00284AE6"/>
    <w:rsid w:val="00284CE4"/>
    <w:rsid w:val="0028531B"/>
    <w:rsid w:val="002858A6"/>
    <w:rsid w:val="00285C85"/>
    <w:rsid w:val="00286027"/>
    <w:rsid w:val="00286BA0"/>
    <w:rsid w:val="00286BC8"/>
    <w:rsid w:val="00287E07"/>
    <w:rsid w:val="00291CE4"/>
    <w:rsid w:val="00291E9B"/>
    <w:rsid w:val="002923E6"/>
    <w:rsid w:val="00294179"/>
    <w:rsid w:val="00294FF0"/>
    <w:rsid w:val="00296604"/>
    <w:rsid w:val="00296E11"/>
    <w:rsid w:val="00297C65"/>
    <w:rsid w:val="002A006D"/>
    <w:rsid w:val="002A023D"/>
    <w:rsid w:val="002A0287"/>
    <w:rsid w:val="002A1325"/>
    <w:rsid w:val="002A189F"/>
    <w:rsid w:val="002A18F4"/>
    <w:rsid w:val="002A1DD0"/>
    <w:rsid w:val="002A20E2"/>
    <w:rsid w:val="002A425F"/>
    <w:rsid w:val="002A52FF"/>
    <w:rsid w:val="002A69E3"/>
    <w:rsid w:val="002A726F"/>
    <w:rsid w:val="002A7B28"/>
    <w:rsid w:val="002A7EC3"/>
    <w:rsid w:val="002B041D"/>
    <w:rsid w:val="002B06B3"/>
    <w:rsid w:val="002B09EC"/>
    <w:rsid w:val="002B0EC8"/>
    <w:rsid w:val="002B206F"/>
    <w:rsid w:val="002B21A1"/>
    <w:rsid w:val="002B2E57"/>
    <w:rsid w:val="002B3CAB"/>
    <w:rsid w:val="002B7786"/>
    <w:rsid w:val="002C1356"/>
    <w:rsid w:val="002C2C63"/>
    <w:rsid w:val="002C2FFD"/>
    <w:rsid w:val="002C3626"/>
    <w:rsid w:val="002C3C33"/>
    <w:rsid w:val="002C3E5F"/>
    <w:rsid w:val="002C485A"/>
    <w:rsid w:val="002C4CC5"/>
    <w:rsid w:val="002C505F"/>
    <w:rsid w:val="002C5FB2"/>
    <w:rsid w:val="002C73AB"/>
    <w:rsid w:val="002C7C50"/>
    <w:rsid w:val="002D0064"/>
    <w:rsid w:val="002D009A"/>
    <w:rsid w:val="002D0941"/>
    <w:rsid w:val="002D0C84"/>
    <w:rsid w:val="002D117C"/>
    <w:rsid w:val="002D197F"/>
    <w:rsid w:val="002D1A20"/>
    <w:rsid w:val="002D3106"/>
    <w:rsid w:val="002D3675"/>
    <w:rsid w:val="002D3705"/>
    <w:rsid w:val="002D468B"/>
    <w:rsid w:val="002D48E6"/>
    <w:rsid w:val="002D642B"/>
    <w:rsid w:val="002D67E4"/>
    <w:rsid w:val="002D6966"/>
    <w:rsid w:val="002D6E62"/>
    <w:rsid w:val="002D7E6F"/>
    <w:rsid w:val="002E0925"/>
    <w:rsid w:val="002E0EA3"/>
    <w:rsid w:val="002E1350"/>
    <w:rsid w:val="002E13FB"/>
    <w:rsid w:val="002E1D82"/>
    <w:rsid w:val="002E1DCF"/>
    <w:rsid w:val="002E23C1"/>
    <w:rsid w:val="002E24E5"/>
    <w:rsid w:val="002E28E3"/>
    <w:rsid w:val="002E2CCA"/>
    <w:rsid w:val="002E538B"/>
    <w:rsid w:val="002E59ED"/>
    <w:rsid w:val="002E5D24"/>
    <w:rsid w:val="002E677E"/>
    <w:rsid w:val="002E7B24"/>
    <w:rsid w:val="002E7CFC"/>
    <w:rsid w:val="002E7D7C"/>
    <w:rsid w:val="002F0144"/>
    <w:rsid w:val="002F04AC"/>
    <w:rsid w:val="002F1018"/>
    <w:rsid w:val="002F1481"/>
    <w:rsid w:val="002F2449"/>
    <w:rsid w:val="002F263A"/>
    <w:rsid w:val="002F38E3"/>
    <w:rsid w:val="002F4623"/>
    <w:rsid w:val="002F4704"/>
    <w:rsid w:val="002F4EF4"/>
    <w:rsid w:val="002F5254"/>
    <w:rsid w:val="002F58D0"/>
    <w:rsid w:val="002F5F55"/>
    <w:rsid w:val="002F6007"/>
    <w:rsid w:val="002F6393"/>
    <w:rsid w:val="002F6579"/>
    <w:rsid w:val="00300025"/>
    <w:rsid w:val="0030022F"/>
    <w:rsid w:val="003007AA"/>
    <w:rsid w:val="003010D3"/>
    <w:rsid w:val="00301B7C"/>
    <w:rsid w:val="003026F8"/>
    <w:rsid w:val="00302C4E"/>
    <w:rsid w:val="00302CEC"/>
    <w:rsid w:val="00302DF8"/>
    <w:rsid w:val="0030360D"/>
    <w:rsid w:val="00303E5B"/>
    <w:rsid w:val="00304DAC"/>
    <w:rsid w:val="0030517D"/>
    <w:rsid w:val="00305B8E"/>
    <w:rsid w:val="0030608C"/>
    <w:rsid w:val="0030718E"/>
    <w:rsid w:val="003074BD"/>
    <w:rsid w:val="00307714"/>
    <w:rsid w:val="00307967"/>
    <w:rsid w:val="00310615"/>
    <w:rsid w:val="00310791"/>
    <w:rsid w:val="00310C78"/>
    <w:rsid w:val="00310D6C"/>
    <w:rsid w:val="00311E3C"/>
    <w:rsid w:val="00312EE4"/>
    <w:rsid w:val="0031329A"/>
    <w:rsid w:val="003138AA"/>
    <w:rsid w:val="00313944"/>
    <w:rsid w:val="00313A5E"/>
    <w:rsid w:val="0031461E"/>
    <w:rsid w:val="00316EC9"/>
    <w:rsid w:val="0031734B"/>
    <w:rsid w:val="003173E3"/>
    <w:rsid w:val="00317C4A"/>
    <w:rsid w:val="00320547"/>
    <w:rsid w:val="0032056A"/>
    <w:rsid w:val="003208EB"/>
    <w:rsid w:val="00321798"/>
    <w:rsid w:val="00321AC8"/>
    <w:rsid w:val="00322C55"/>
    <w:rsid w:val="003233C6"/>
    <w:rsid w:val="00323624"/>
    <w:rsid w:val="0032385B"/>
    <w:rsid w:val="0032386C"/>
    <w:rsid w:val="00323D2A"/>
    <w:rsid w:val="00323F74"/>
    <w:rsid w:val="00324FD3"/>
    <w:rsid w:val="00325BAB"/>
    <w:rsid w:val="00325F0D"/>
    <w:rsid w:val="00326C29"/>
    <w:rsid w:val="00327470"/>
    <w:rsid w:val="0033154D"/>
    <w:rsid w:val="0033249A"/>
    <w:rsid w:val="00332513"/>
    <w:rsid w:val="00332B23"/>
    <w:rsid w:val="00333063"/>
    <w:rsid w:val="003330CD"/>
    <w:rsid w:val="00333AEC"/>
    <w:rsid w:val="00333C6E"/>
    <w:rsid w:val="00333D78"/>
    <w:rsid w:val="003346CE"/>
    <w:rsid w:val="003350AD"/>
    <w:rsid w:val="003350EF"/>
    <w:rsid w:val="00335B4F"/>
    <w:rsid w:val="003368A4"/>
    <w:rsid w:val="0033698C"/>
    <w:rsid w:val="003376C2"/>
    <w:rsid w:val="003402BC"/>
    <w:rsid w:val="00341668"/>
    <w:rsid w:val="0034336E"/>
    <w:rsid w:val="00343380"/>
    <w:rsid w:val="00344363"/>
    <w:rsid w:val="003446A4"/>
    <w:rsid w:val="003464FD"/>
    <w:rsid w:val="00346D51"/>
    <w:rsid w:val="00347750"/>
    <w:rsid w:val="003500A1"/>
    <w:rsid w:val="00350121"/>
    <w:rsid w:val="00350718"/>
    <w:rsid w:val="00350D9A"/>
    <w:rsid w:val="003512E7"/>
    <w:rsid w:val="0035166E"/>
    <w:rsid w:val="0035192A"/>
    <w:rsid w:val="00354563"/>
    <w:rsid w:val="0035475C"/>
    <w:rsid w:val="003554D1"/>
    <w:rsid w:val="003561CB"/>
    <w:rsid w:val="00361060"/>
    <w:rsid w:val="003611E0"/>
    <w:rsid w:val="00361F9F"/>
    <w:rsid w:val="00362825"/>
    <w:rsid w:val="00362E88"/>
    <w:rsid w:val="00362ED5"/>
    <w:rsid w:val="003630B9"/>
    <w:rsid w:val="00363223"/>
    <w:rsid w:val="00363487"/>
    <w:rsid w:val="003638CA"/>
    <w:rsid w:val="00364695"/>
    <w:rsid w:val="0036498F"/>
    <w:rsid w:val="00365B09"/>
    <w:rsid w:val="00366B7D"/>
    <w:rsid w:val="00366C7F"/>
    <w:rsid w:val="00366F2B"/>
    <w:rsid w:val="0036710E"/>
    <w:rsid w:val="00370655"/>
    <w:rsid w:val="003711C5"/>
    <w:rsid w:val="00371510"/>
    <w:rsid w:val="0037153B"/>
    <w:rsid w:val="003715E2"/>
    <w:rsid w:val="003718F1"/>
    <w:rsid w:val="003726B0"/>
    <w:rsid w:val="00372F3E"/>
    <w:rsid w:val="00373348"/>
    <w:rsid w:val="0037366A"/>
    <w:rsid w:val="00374567"/>
    <w:rsid w:val="00374DCE"/>
    <w:rsid w:val="00374E93"/>
    <w:rsid w:val="00374F60"/>
    <w:rsid w:val="0037638B"/>
    <w:rsid w:val="00380161"/>
    <w:rsid w:val="00380472"/>
    <w:rsid w:val="00380C6D"/>
    <w:rsid w:val="00380E47"/>
    <w:rsid w:val="00381F89"/>
    <w:rsid w:val="003823F5"/>
    <w:rsid w:val="00382549"/>
    <w:rsid w:val="003835B7"/>
    <w:rsid w:val="0038371A"/>
    <w:rsid w:val="00383B03"/>
    <w:rsid w:val="00383C61"/>
    <w:rsid w:val="003842BE"/>
    <w:rsid w:val="00385A8B"/>
    <w:rsid w:val="003866E9"/>
    <w:rsid w:val="003869EA"/>
    <w:rsid w:val="00386FCD"/>
    <w:rsid w:val="00387487"/>
    <w:rsid w:val="003875BF"/>
    <w:rsid w:val="00387CF8"/>
    <w:rsid w:val="00390574"/>
    <w:rsid w:val="00390AB1"/>
    <w:rsid w:val="00390B96"/>
    <w:rsid w:val="00390EDE"/>
    <w:rsid w:val="0039112F"/>
    <w:rsid w:val="00391159"/>
    <w:rsid w:val="003913D9"/>
    <w:rsid w:val="00391760"/>
    <w:rsid w:val="00391EEA"/>
    <w:rsid w:val="0039239A"/>
    <w:rsid w:val="003925E9"/>
    <w:rsid w:val="00392A8C"/>
    <w:rsid w:val="00393004"/>
    <w:rsid w:val="00393E21"/>
    <w:rsid w:val="00393F16"/>
    <w:rsid w:val="00394C25"/>
    <w:rsid w:val="00396503"/>
    <w:rsid w:val="00396CAF"/>
    <w:rsid w:val="003979EE"/>
    <w:rsid w:val="00397B57"/>
    <w:rsid w:val="00397D9B"/>
    <w:rsid w:val="00397FCA"/>
    <w:rsid w:val="003A00B2"/>
    <w:rsid w:val="003A0AE0"/>
    <w:rsid w:val="003A0B31"/>
    <w:rsid w:val="003A1C34"/>
    <w:rsid w:val="003A1D60"/>
    <w:rsid w:val="003A1E43"/>
    <w:rsid w:val="003A281D"/>
    <w:rsid w:val="003A3A91"/>
    <w:rsid w:val="003A4EF4"/>
    <w:rsid w:val="003A4F64"/>
    <w:rsid w:val="003A5098"/>
    <w:rsid w:val="003A5124"/>
    <w:rsid w:val="003A5994"/>
    <w:rsid w:val="003A5C14"/>
    <w:rsid w:val="003A70DC"/>
    <w:rsid w:val="003A7F56"/>
    <w:rsid w:val="003A7F8A"/>
    <w:rsid w:val="003B06D7"/>
    <w:rsid w:val="003B10D9"/>
    <w:rsid w:val="003B1B22"/>
    <w:rsid w:val="003B2AA3"/>
    <w:rsid w:val="003B577A"/>
    <w:rsid w:val="003B6B0D"/>
    <w:rsid w:val="003B7794"/>
    <w:rsid w:val="003B7818"/>
    <w:rsid w:val="003C06DD"/>
    <w:rsid w:val="003C1056"/>
    <w:rsid w:val="003C10C2"/>
    <w:rsid w:val="003C1D70"/>
    <w:rsid w:val="003C20E0"/>
    <w:rsid w:val="003C2208"/>
    <w:rsid w:val="003C2530"/>
    <w:rsid w:val="003C28E3"/>
    <w:rsid w:val="003C5992"/>
    <w:rsid w:val="003C62E4"/>
    <w:rsid w:val="003C64C9"/>
    <w:rsid w:val="003C6A6A"/>
    <w:rsid w:val="003C6D83"/>
    <w:rsid w:val="003D012D"/>
    <w:rsid w:val="003D191D"/>
    <w:rsid w:val="003D1E67"/>
    <w:rsid w:val="003D1EC4"/>
    <w:rsid w:val="003D2157"/>
    <w:rsid w:val="003D21DF"/>
    <w:rsid w:val="003D22BC"/>
    <w:rsid w:val="003D325B"/>
    <w:rsid w:val="003D33DC"/>
    <w:rsid w:val="003D362E"/>
    <w:rsid w:val="003D3E4F"/>
    <w:rsid w:val="003D3EC8"/>
    <w:rsid w:val="003D43BF"/>
    <w:rsid w:val="003D46DB"/>
    <w:rsid w:val="003D51AE"/>
    <w:rsid w:val="003D522D"/>
    <w:rsid w:val="003D54F1"/>
    <w:rsid w:val="003D59E0"/>
    <w:rsid w:val="003D610E"/>
    <w:rsid w:val="003D6A97"/>
    <w:rsid w:val="003D7C64"/>
    <w:rsid w:val="003E00E0"/>
    <w:rsid w:val="003E0198"/>
    <w:rsid w:val="003E070E"/>
    <w:rsid w:val="003E0B7E"/>
    <w:rsid w:val="003E10A2"/>
    <w:rsid w:val="003E154C"/>
    <w:rsid w:val="003E1A9C"/>
    <w:rsid w:val="003E244D"/>
    <w:rsid w:val="003E3A04"/>
    <w:rsid w:val="003E3DC2"/>
    <w:rsid w:val="003E4A6B"/>
    <w:rsid w:val="003E4B62"/>
    <w:rsid w:val="003E6E17"/>
    <w:rsid w:val="003E7348"/>
    <w:rsid w:val="003E7769"/>
    <w:rsid w:val="003F046F"/>
    <w:rsid w:val="003F063D"/>
    <w:rsid w:val="003F0692"/>
    <w:rsid w:val="003F0B9D"/>
    <w:rsid w:val="003F20B1"/>
    <w:rsid w:val="003F2139"/>
    <w:rsid w:val="003F2758"/>
    <w:rsid w:val="003F3862"/>
    <w:rsid w:val="003F3EC6"/>
    <w:rsid w:val="003F46E3"/>
    <w:rsid w:val="003F4A2F"/>
    <w:rsid w:val="003F4B61"/>
    <w:rsid w:val="003F4E95"/>
    <w:rsid w:val="003F5575"/>
    <w:rsid w:val="003F6E4E"/>
    <w:rsid w:val="003F6ECE"/>
    <w:rsid w:val="003F7616"/>
    <w:rsid w:val="003F7E14"/>
    <w:rsid w:val="004005DB"/>
    <w:rsid w:val="00400ACD"/>
    <w:rsid w:val="0040106C"/>
    <w:rsid w:val="00401279"/>
    <w:rsid w:val="004017F2"/>
    <w:rsid w:val="00401AB9"/>
    <w:rsid w:val="00401FD9"/>
    <w:rsid w:val="004021CA"/>
    <w:rsid w:val="00402A02"/>
    <w:rsid w:val="00402AD6"/>
    <w:rsid w:val="0040455F"/>
    <w:rsid w:val="004047CC"/>
    <w:rsid w:val="0040495A"/>
    <w:rsid w:val="00405DB3"/>
    <w:rsid w:val="00405E72"/>
    <w:rsid w:val="004061D1"/>
    <w:rsid w:val="0040636F"/>
    <w:rsid w:val="004066E4"/>
    <w:rsid w:val="0040691D"/>
    <w:rsid w:val="00406D68"/>
    <w:rsid w:val="00406E42"/>
    <w:rsid w:val="0040756C"/>
    <w:rsid w:val="004078C5"/>
    <w:rsid w:val="00410D18"/>
    <w:rsid w:val="0041102A"/>
    <w:rsid w:val="0041148E"/>
    <w:rsid w:val="00411681"/>
    <w:rsid w:val="00411FB1"/>
    <w:rsid w:val="004122C7"/>
    <w:rsid w:val="004122CD"/>
    <w:rsid w:val="004125E8"/>
    <w:rsid w:val="00412752"/>
    <w:rsid w:val="00412862"/>
    <w:rsid w:val="004130A9"/>
    <w:rsid w:val="00413C7C"/>
    <w:rsid w:val="00413EC5"/>
    <w:rsid w:val="004169F8"/>
    <w:rsid w:val="00417386"/>
    <w:rsid w:val="004173BD"/>
    <w:rsid w:val="00417833"/>
    <w:rsid w:val="004178F4"/>
    <w:rsid w:val="00417FAB"/>
    <w:rsid w:val="00420177"/>
    <w:rsid w:val="00421988"/>
    <w:rsid w:val="00421A2E"/>
    <w:rsid w:val="0042315B"/>
    <w:rsid w:val="00424395"/>
    <w:rsid w:val="00424462"/>
    <w:rsid w:val="00425999"/>
    <w:rsid w:val="00426279"/>
    <w:rsid w:val="00426C09"/>
    <w:rsid w:val="00426EC2"/>
    <w:rsid w:val="00426F58"/>
    <w:rsid w:val="00427EC9"/>
    <w:rsid w:val="00430123"/>
    <w:rsid w:val="004301AA"/>
    <w:rsid w:val="00430F43"/>
    <w:rsid w:val="004313DB"/>
    <w:rsid w:val="004314E1"/>
    <w:rsid w:val="004320CA"/>
    <w:rsid w:val="00432525"/>
    <w:rsid w:val="00432D4E"/>
    <w:rsid w:val="0043353E"/>
    <w:rsid w:val="00434041"/>
    <w:rsid w:val="0043510F"/>
    <w:rsid w:val="00435C0D"/>
    <w:rsid w:val="004369D6"/>
    <w:rsid w:val="0043730B"/>
    <w:rsid w:val="004377A6"/>
    <w:rsid w:val="00437849"/>
    <w:rsid w:val="004378C7"/>
    <w:rsid w:val="00437AFF"/>
    <w:rsid w:val="00437C69"/>
    <w:rsid w:val="00437D66"/>
    <w:rsid w:val="00437E21"/>
    <w:rsid w:val="00440B27"/>
    <w:rsid w:val="004411B8"/>
    <w:rsid w:val="00442EC1"/>
    <w:rsid w:val="0044463C"/>
    <w:rsid w:val="0044561C"/>
    <w:rsid w:val="00446999"/>
    <w:rsid w:val="00446A16"/>
    <w:rsid w:val="00447347"/>
    <w:rsid w:val="004474AE"/>
    <w:rsid w:val="00447C08"/>
    <w:rsid w:val="00447E1A"/>
    <w:rsid w:val="004501D4"/>
    <w:rsid w:val="00450F75"/>
    <w:rsid w:val="0045153D"/>
    <w:rsid w:val="004563E4"/>
    <w:rsid w:val="0045689A"/>
    <w:rsid w:val="00456FCA"/>
    <w:rsid w:val="00457A6C"/>
    <w:rsid w:val="004609E3"/>
    <w:rsid w:val="00460B02"/>
    <w:rsid w:val="00461E1F"/>
    <w:rsid w:val="004625C0"/>
    <w:rsid w:val="00462C13"/>
    <w:rsid w:val="00463C1E"/>
    <w:rsid w:val="00463C36"/>
    <w:rsid w:val="00463D89"/>
    <w:rsid w:val="00464468"/>
    <w:rsid w:val="00464C35"/>
    <w:rsid w:val="00464CB7"/>
    <w:rsid w:val="00464F8F"/>
    <w:rsid w:val="00465074"/>
    <w:rsid w:val="004653B7"/>
    <w:rsid w:val="004654BF"/>
    <w:rsid w:val="0046553E"/>
    <w:rsid w:val="00465F3D"/>
    <w:rsid w:val="0047013B"/>
    <w:rsid w:val="004701BF"/>
    <w:rsid w:val="00471921"/>
    <w:rsid w:val="00471C48"/>
    <w:rsid w:val="00472E65"/>
    <w:rsid w:val="0047327A"/>
    <w:rsid w:val="00473DF1"/>
    <w:rsid w:val="00474056"/>
    <w:rsid w:val="00474348"/>
    <w:rsid w:val="004746AD"/>
    <w:rsid w:val="0047475E"/>
    <w:rsid w:val="00474777"/>
    <w:rsid w:val="004749A2"/>
    <w:rsid w:val="00474E09"/>
    <w:rsid w:val="00475759"/>
    <w:rsid w:val="00475C04"/>
    <w:rsid w:val="004770C6"/>
    <w:rsid w:val="00481146"/>
    <w:rsid w:val="00481233"/>
    <w:rsid w:val="00481339"/>
    <w:rsid w:val="00481446"/>
    <w:rsid w:val="004818C9"/>
    <w:rsid w:val="004819B8"/>
    <w:rsid w:val="00482CED"/>
    <w:rsid w:val="00483B17"/>
    <w:rsid w:val="004846DA"/>
    <w:rsid w:val="00484AD4"/>
    <w:rsid w:val="00485936"/>
    <w:rsid w:val="00485F7E"/>
    <w:rsid w:val="00485FD0"/>
    <w:rsid w:val="0048605B"/>
    <w:rsid w:val="00486867"/>
    <w:rsid w:val="00486B6F"/>
    <w:rsid w:val="00487522"/>
    <w:rsid w:val="004903F8"/>
    <w:rsid w:val="0049050C"/>
    <w:rsid w:val="00490C00"/>
    <w:rsid w:val="00491266"/>
    <w:rsid w:val="0049198B"/>
    <w:rsid w:val="00491EEC"/>
    <w:rsid w:val="00492296"/>
    <w:rsid w:val="00492663"/>
    <w:rsid w:val="00492825"/>
    <w:rsid w:val="00492A60"/>
    <w:rsid w:val="0049400A"/>
    <w:rsid w:val="0049456F"/>
    <w:rsid w:val="00494722"/>
    <w:rsid w:val="0049580A"/>
    <w:rsid w:val="0049664B"/>
    <w:rsid w:val="0049736C"/>
    <w:rsid w:val="004977C9"/>
    <w:rsid w:val="00497C42"/>
    <w:rsid w:val="004A078E"/>
    <w:rsid w:val="004A09EA"/>
    <w:rsid w:val="004A0A76"/>
    <w:rsid w:val="004A0B8F"/>
    <w:rsid w:val="004A0BE9"/>
    <w:rsid w:val="004A0D57"/>
    <w:rsid w:val="004A0DE1"/>
    <w:rsid w:val="004A0ED1"/>
    <w:rsid w:val="004A1657"/>
    <w:rsid w:val="004A19C7"/>
    <w:rsid w:val="004A1CA7"/>
    <w:rsid w:val="004A2EFF"/>
    <w:rsid w:val="004A49E3"/>
    <w:rsid w:val="004A4D10"/>
    <w:rsid w:val="004A4E58"/>
    <w:rsid w:val="004A51E7"/>
    <w:rsid w:val="004A6545"/>
    <w:rsid w:val="004A6637"/>
    <w:rsid w:val="004A6CA2"/>
    <w:rsid w:val="004A728E"/>
    <w:rsid w:val="004A75A4"/>
    <w:rsid w:val="004A7865"/>
    <w:rsid w:val="004B0826"/>
    <w:rsid w:val="004B0CF0"/>
    <w:rsid w:val="004B1DB7"/>
    <w:rsid w:val="004B2389"/>
    <w:rsid w:val="004B30BE"/>
    <w:rsid w:val="004B44B5"/>
    <w:rsid w:val="004B46C4"/>
    <w:rsid w:val="004B4CEE"/>
    <w:rsid w:val="004B5014"/>
    <w:rsid w:val="004B58F9"/>
    <w:rsid w:val="004B69D8"/>
    <w:rsid w:val="004B6AE9"/>
    <w:rsid w:val="004B6C38"/>
    <w:rsid w:val="004B725D"/>
    <w:rsid w:val="004B7482"/>
    <w:rsid w:val="004B7773"/>
    <w:rsid w:val="004C01C6"/>
    <w:rsid w:val="004C0B3C"/>
    <w:rsid w:val="004C0B83"/>
    <w:rsid w:val="004C1483"/>
    <w:rsid w:val="004C240B"/>
    <w:rsid w:val="004C26DC"/>
    <w:rsid w:val="004C2C50"/>
    <w:rsid w:val="004C33E4"/>
    <w:rsid w:val="004C3447"/>
    <w:rsid w:val="004C4947"/>
    <w:rsid w:val="004C797B"/>
    <w:rsid w:val="004C7D1F"/>
    <w:rsid w:val="004D1007"/>
    <w:rsid w:val="004D166E"/>
    <w:rsid w:val="004D18BD"/>
    <w:rsid w:val="004D1B0F"/>
    <w:rsid w:val="004D1D81"/>
    <w:rsid w:val="004D1E0A"/>
    <w:rsid w:val="004D2A83"/>
    <w:rsid w:val="004D2B98"/>
    <w:rsid w:val="004D2C82"/>
    <w:rsid w:val="004D3232"/>
    <w:rsid w:val="004D3992"/>
    <w:rsid w:val="004D6222"/>
    <w:rsid w:val="004D78AC"/>
    <w:rsid w:val="004D79FF"/>
    <w:rsid w:val="004E1313"/>
    <w:rsid w:val="004E263C"/>
    <w:rsid w:val="004E2C58"/>
    <w:rsid w:val="004E38CE"/>
    <w:rsid w:val="004E4978"/>
    <w:rsid w:val="004E4CBA"/>
    <w:rsid w:val="004E519B"/>
    <w:rsid w:val="004E5297"/>
    <w:rsid w:val="004E553E"/>
    <w:rsid w:val="004E5B79"/>
    <w:rsid w:val="004E694F"/>
    <w:rsid w:val="004E6AF5"/>
    <w:rsid w:val="004E6B1D"/>
    <w:rsid w:val="004E7BCA"/>
    <w:rsid w:val="004E7CF3"/>
    <w:rsid w:val="004E7EB1"/>
    <w:rsid w:val="004F1864"/>
    <w:rsid w:val="004F36C8"/>
    <w:rsid w:val="004F3C50"/>
    <w:rsid w:val="004F3D43"/>
    <w:rsid w:val="004F4123"/>
    <w:rsid w:val="004F503E"/>
    <w:rsid w:val="004F5D4F"/>
    <w:rsid w:val="004F61A3"/>
    <w:rsid w:val="004F6C39"/>
    <w:rsid w:val="0050004A"/>
    <w:rsid w:val="00500618"/>
    <w:rsid w:val="00503C82"/>
    <w:rsid w:val="0050413F"/>
    <w:rsid w:val="005044B6"/>
    <w:rsid w:val="0050508C"/>
    <w:rsid w:val="005054F1"/>
    <w:rsid w:val="00505781"/>
    <w:rsid w:val="00505ACB"/>
    <w:rsid w:val="00505C98"/>
    <w:rsid w:val="005063F1"/>
    <w:rsid w:val="005064BF"/>
    <w:rsid w:val="00506606"/>
    <w:rsid w:val="00506E16"/>
    <w:rsid w:val="00506EAE"/>
    <w:rsid w:val="00507258"/>
    <w:rsid w:val="00507813"/>
    <w:rsid w:val="00507876"/>
    <w:rsid w:val="00507881"/>
    <w:rsid w:val="005116C6"/>
    <w:rsid w:val="00511BBE"/>
    <w:rsid w:val="00512778"/>
    <w:rsid w:val="00512FE4"/>
    <w:rsid w:val="00513A74"/>
    <w:rsid w:val="00513B62"/>
    <w:rsid w:val="005149EA"/>
    <w:rsid w:val="005152A6"/>
    <w:rsid w:val="00515687"/>
    <w:rsid w:val="00515D54"/>
    <w:rsid w:val="0051638F"/>
    <w:rsid w:val="00517BB9"/>
    <w:rsid w:val="005204E7"/>
    <w:rsid w:val="0052087C"/>
    <w:rsid w:val="00521010"/>
    <w:rsid w:val="0052188B"/>
    <w:rsid w:val="0052270E"/>
    <w:rsid w:val="00523C90"/>
    <w:rsid w:val="00524C9E"/>
    <w:rsid w:val="005250A3"/>
    <w:rsid w:val="00526BEB"/>
    <w:rsid w:val="00526FD9"/>
    <w:rsid w:val="00530FFF"/>
    <w:rsid w:val="005314CB"/>
    <w:rsid w:val="00532259"/>
    <w:rsid w:val="0053239E"/>
    <w:rsid w:val="00534115"/>
    <w:rsid w:val="00534805"/>
    <w:rsid w:val="00534A1A"/>
    <w:rsid w:val="00535D61"/>
    <w:rsid w:val="00536030"/>
    <w:rsid w:val="00536AD7"/>
    <w:rsid w:val="005375C1"/>
    <w:rsid w:val="00540C70"/>
    <w:rsid w:val="00541E87"/>
    <w:rsid w:val="00542559"/>
    <w:rsid w:val="0054361F"/>
    <w:rsid w:val="00543DE5"/>
    <w:rsid w:val="00544012"/>
    <w:rsid w:val="00544EFB"/>
    <w:rsid w:val="00545091"/>
    <w:rsid w:val="00545C64"/>
    <w:rsid w:val="00545D50"/>
    <w:rsid w:val="0054707E"/>
    <w:rsid w:val="0055001A"/>
    <w:rsid w:val="0055050A"/>
    <w:rsid w:val="00551436"/>
    <w:rsid w:val="005523AA"/>
    <w:rsid w:val="005523D6"/>
    <w:rsid w:val="0055280F"/>
    <w:rsid w:val="00553B7B"/>
    <w:rsid w:val="00553BA6"/>
    <w:rsid w:val="00553F23"/>
    <w:rsid w:val="005540D0"/>
    <w:rsid w:val="005557A6"/>
    <w:rsid w:val="005562D1"/>
    <w:rsid w:val="00556386"/>
    <w:rsid w:val="00556B88"/>
    <w:rsid w:val="005577D3"/>
    <w:rsid w:val="00560142"/>
    <w:rsid w:val="0056055D"/>
    <w:rsid w:val="00560870"/>
    <w:rsid w:val="00561552"/>
    <w:rsid w:val="005617F5"/>
    <w:rsid w:val="00561EA5"/>
    <w:rsid w:val="00562126"/>
    <w:rsid w:val="0056284F"/>
    <w:rsid w:val="00562884"/>
    <w:rsid w:val="00562C54"/>
    <w:rsid w:val="0056354F"/>
    <w:rsid w:val="00564892"/>
    <w:rsid w:val="00566714"/>
    <w:rsid w:val="00567349"/>
    <w:rsid w:val="00567D53"/>
    <w:rsid w:val="00567DFD"/>
    <w:rsid w:val="00567F14"/>
    <w:rsid w:val="005703EC"/>
    <w:rsid w:val="00570A6C"/>
    <w:rsid w:val="0057120A"/>
    <w:rsid w:val="005712C3"/>
    <w:rsid w:val="005718B5"/>
    <w:rsid w:val="00572556"/>
    <w:rsid w:val="00572A62"/>
    <w:rsid w:val="00573046"/>
    <w:rsid w:val="00573E2F"/>
    <w:rsid w:val="00573E77"/>
    <w:rsid w:val="00573FFD"/>
    <w:rsid w:val="005740EA"/>
    <w:rsid w:val="00575C3C"/>
    <w:rsid w:val="00575DA6"/>
    <w:rsid w:val="00576C3A"/>
    <w:rsid w:val="00576F17"/>
    <w:rsid w:val="005773C6"/>
    <w:rsid w:val="00577E77"/>
    <w:rsid w:val="00582215"/>
    <w:rsid w:val="0058344D"/>
    <w:rsid w:val="00584457"/>
    <w:rsid w:val="00584607"/>
    <w:rsid w:val="005856B7"/>
    <w:rsid w:val="005874C7"/>
    <w:rsid w:val="00587BBB"/>
    <w:rsid w:val="00590339"/>
    <w:rsid w:val="00591DB1"/>
    <w:rsid w:val="00592A6A"/>
    <w:rsid w:val="00592D27"/>
    <w:rsid w:val="00593096"/>
    <w:rsid w:val="0059327F"/>
    <w:rsid w:val="00593C4F"/>
    <w:rsid w:val="00594037"/>
    <w:rsid w:val="005955AF"/>
    <w:rsid w:val="00596996"/>
    <w:rsid w:val="00596C71"/>
    <w:rsid w:val="00597EBE"/>
    <w:rsid w:val="005A0A33"/>
    <w:rsid w:val="005A124C"/>
    <w:rsid w:val="005A213B"/>
    <w:rsid w:val="005A217B"/>
    <w:rsid w:val="005A2B8B"/>
    <w:rsid w:val="005A2EAA"/>
    <w:rsid w:val="005A31FB"/>
    <w:rsid w:val="005A3517"/>
    <w:rsid w:val="005A3CE0"/>
    <w:rsid w:val="005A3F5E"/>
    <w:rsid w:val="005A45A8"/>
    <w:rsid w:val="005A4DFE"/>
    <w:rsid w:val="005A6705"/>
    <w:rsid w:val="005B0089"/>
    <w:rsid w:val="005B021E"/>
    <w:rsid w:val="005B0522"/>
    <w:rsid w:val="005B0B3B"/>
    <w:rsid w:val="005B1350"/>
    <w:rsid w:val="005B1FDA"/>
    <w:rsid w:val="005B2300"/>
    <w:rsid w:val="005B28A1"/>
    <w:rsid w:val="005B2C89"/>
    <w:rsid w:val="005B3BEC"/>
    <w:rsid w:val="005B465D"/>
    <w:rsid w:val="005B5956"/>
    <w:rsid w:val="005B6838"/>
    <w:rsid w:val="005B6940"/>
    <w:rsid w:val="005B7A5E"/>
    <w:rsid w:val="005C0FD3"/>
    <w:rsid w:val="005C174C"/>
    <w:rsid w:val="005C2579"/>
    <w:rsid w:val="005C383E"/>
    <w:rsid w:val="005C4354"/>
    <w:rsid w:val="005C5169"/>
    <w:rsid w:val="005C5614"/>
    <w:rsid w:val="005C57D0"/>
    <w:rsid w:val="005C588B"/>
    <w:rsid w:val="005C62F3"/>
    <w:rsid w:val="005C6747"/>
    <w:rsid w:val="005D0208"/>
    <w:rsid w:val="005D0695"/>
    <w:rsid w:val="005D0C2C"/>
    <w:rsid w:val="005D28A8"/>
    <w:rsid w:val="005D3530"/>
    <w:rsid w:val="005D3831"/>
    <w:rsid w:val="005D391D"/>
    <w:rsid w:val="005D3D2C"/>
    <w:rsid w:val="005D4107"/>
    <w:rsid w:val="005D47F9"/>
    <w:rsid w:val="005D4F00"/>
    <w:rsid w:val="005D5A57"/>
    <w:rsid w:val="005D69F1"/>
    <w:rsid w:val="005D7CAB"/>
    <w:rsid w:val="005D7D9F"/>
    <w:rsid w:val="005D7FFE"/>
    <w:rsid w:val="005E05BB"/>
    <w:rsid w:val="005E0788"/>
    <w:rsid w:val="005E1575"/>
    <w:rsid w:val="005E1580"/>
    <w:rsid w:val="005E1FF9"/>
    <w:rsid w:val="005E3ACA"/>
    <w:rsid w:val="005E3FE8"/>
    <w:rsid w:val="005E4635"/>
    <w:rsid w:val="005E4AB0"/>
    <w:rsid w:val="005E4AB5"/>
    <w:rsid w:val="005E5726"/>
    <w:rsid w:val="005E6EBE"/>
    <w:rsid w:val="005E72B7"/>
    <w:rsid w:val="005E7521"/>
    <w:rsid w:val="005E77F0"/>
    <w:rsid w:val="005E787C"/>
    <w:rsid w:val="005E7B07"/>
    <w:rsid w:val="005F032B"/>
    <w:rsid w:val="005F07DE"/>
    <w:rsid w:val="005F1509"/>
    <w:rsid w:val="005F1730"/>
    <w:rsid w:val="005F1B4F"/>
    <w:rsid w:val="005F1C3E"/>
    <w:rsid w:val="005F41AE"/>
    <w:rsid w:val="005F4D03"/>
    <w:rsid w:val="005F4FA4"/>
    <w:rsid w:val="005F533C"/>
    <w:rsid w:val="005F639E"/>
    <w:rsid w:val="005F6CEA"/>
    <w:rsid w:val="005F715B"/>
    <w:rsid w:val="005F74FF"/>
    <w:rsid w:val="00600327"/>
    <w:rsid w:val="00600687"/>
    <w:rsid w:val="00604327"/>
    <w:rsid w:val="00604743"/>
    <w:rsid w:val="0060643A"/>
    <w:rsid w:val="00606A43"/>
    <w:rsid w:val="006103ED"/>
    <w:rsid w:val="00610A19"/>
    <w:rsid w:val="00611920"/>
    <w:rsid w:val="00611BF3"/>
    <w:rsid w:val="00612979"/>
    <w:rsid w:val="006136BD"/>
    <w:rsid w:val="00614181"/>
    <w:rsid w:val="00614987"/>
    <w:rsid w:val="00614E92"/>
    <w:rsid w:val="0061591B"/>
    <w:rsid w:val="00615AA5"/>
    <w:rsid w:val="00616821"/>
    <w:rsid w:val="006177C8"/>
    <w:rsid w:val="006178EE"/>
    <w:rsid w:val="00617B6D"/>
    <w:rsid w:val="0062001D"/>
    <w:rsid w:val="0062131B"/>
    <w:rsid w:val="006217AD"/>
    <w:rsid w:val="006220F5"/>
    <w:rsid w:val="00623BC2"/>
    <w:rsid w:val="006256FE"/>
    <w:rsid w:val="00625B30"/>
    <w:rsid w:val="00625B49"/>
    <w:rsid w:val="006268C5"/>
    <w:rsid w:val="00626A30"/>
    <w:rsid w:val="00626DD8"/>
    <w:rsid w:val="0063117D"/>
    <w:rsid w:val="00631495"/>
    <w:rsid w:val="00631717"/>
    <w:rsid w:val="00631C3C"/>
    <w:rsid w:val="0063239B"/>
    <w:rsid w:val="00633963"/>
    <w:rsid w:val="00634028"/>
    <w:rsid w:val="006345A3"/>
    <w:rsid w:val="00634648"/>
    <w:rsid w:val="0063485C"/>
    <w:rsid w:val="00634E93"/>
    <w:rsid w:val="00635140"/>
    <w:rsid w:val="0063518B"/>
    <w:rsid w:val="00635622"/>
    <w:rsid w:val="00635CD9"/>
    <w:rsid w:val="00635DF5"/>
    <w:rsid w:val="00636DCD"/>
    <w:rsid w:val="00637F1A"/>
    <w:rsid w:val="0064008F"/>
    <w:rsid w:val="006409F2"/>
    <w:rsid w:val="00640B5F"/>
    <w:rsid w:val="00640E3C"/>
    <w:rsid w:val="0064217F"/>
    <w:rsid w:val="006423F0"/>
    <w:rsid w:val="00642E42"/>
    <w:rsid w:val="00642FC4"/>
    <w:rsid w:val="006430FF"/>
    <w:rsid w:val="00644007"/>
    <w:rsid w:val="00644C5F"/>
    <w:rsid w:val="00644EC7"/>
    <w:rsid w:val="006466F0"/>
    <w:rsid w:val="00646867"/>
    <w:rsid w:val="00646F68"/>
    <w:rsid w:val="00647114"/>
    <w:rsid w:val="00647448"/>
    <w:rsid w:val="00650BF6"/>
    <w:rsid w:val="00650FB9"/>
    <w:rsid w:val="00651793"/>
    <w:rsid w:val="00651938"/>
    <w:rsid w:val="00652200"/>
    <w:rsid w:val="006531BB"/>
    <w:rsid w:val="00653486"/>
    <w:rsid w:val="00653A1A"/>
    <w:rsid w:val="0065404C"/>
    <w:rsid w:val="00654461"/>
    <w:rsid w:val="006555DB"/>
    <w:rsid w:val="006556D4"/>
    <w:rsid w:val="00656BB1"/>
    <w:rsid w:val="00657623"/>
    <w:rsid w:val="00657A4E"/>
    <w:rsid w:val="00657CE4"/>
    <w:rsid w:val="00660CA9"/>
    <w:rsid w:val="006626C9"/>
    <w:rsid w:val="006629A4"/>
    <w:rsid w:val="00663534"/>
    <w:rsid w:val="006637B6"/>
    <w:rsid w:val="0066429F"/>
    <w:rsid w:val="00664782"/>
    <w:rsid w:val="00664813"/>
    <w:rsid w:val="00664A36"/>
    <w:rsid w:val="00664E66"/>
    <w:rsid w:val="00664F62"/>
    <w:rsid w:val="006651EE"/>
    <w:rsid w:val="00665B72"/>
    <w:rsid w:val="00666028"/>
    <w:rsid w:val="00666F30"/>
    <w:rsid w:val="00667B54"/>
    <w:rsid w:val="00667B6C"/>
    <w:rsid w:val="00670829"/>
    <w:rsid w:val="00670F10"/>
    <w:rsid w:val="00670FC4"/>
    <w:rsid w:val="0067143D"/>
    <w:rsid w:val="0067178B"/>
    <w:rsid w:val="00674750"/>
    <w:rsid w:val="00674804"/>
    <w:rsid w:val="006752F3"/>
    <w:rsid w:val="006755CF"/>
    <w:rsid w:val="00676111"/>
    <w:rsid w:val="00676A5D"/>
    <w:rsid w:val="00677616"/>
    <w:rsid w:val="00681BE5"/>
    <w:rsid w:val="006827FA"/>
    <w:rsid w:val="00682B89"/>
    <w:rsid w:val="00683D87"/>
    <w:rsid w:val="00684FBB"/>
    <w:rsid w:val="0068545D"/>
    <w:rsid w:val="00685520"/>
    <w:rsid w:val="00685892"/>
    <w:rsid w:val="006859B3"/>
    <w:rsid w:val="00685A34"/>
    <w:rsid w:val="00685C8C"/>
    <w:rsid w:val="0068631C"/>
    <w:rsid w:val="006874F9"/>
    <w:rsid w:val="00690148"/>
    <w:rsid w:val="0069062D"/>
    <w:rsid w:val="006908B0"/>
    <w:rsid w:val="006909E7"/>
    <w:rsid w:val="00690D0D"/>
    <w:rsid w:val="00691BB8"/>
    <w:rsid w:val="0069367A"/>
    <w:rsid w:val="006937CC"/>
    <w:rsid w:val="00693820"/>
    <w:rsid w:val="00693884"/>
    <w:rsid w:val="00693A8D"/>
    <w:rsid w:val="00693E19"/>
    <w:rsid w:val="00693FCC"/>
    <w:rsid w:val="00694C47"/>
    <w:rsid w:val="00695159"/>
    <w:rsid w:val="00695303"/>
    <w:rsid w:val="00695504"/>
    <w:rsid w:val="006971C6"/>
    <w:rsid w:val="006A0581"/>
    <w:rsid w:val="006A0C1F"/>
    <w:rsid w:val="006A1A6E"/>
    <w:rsid w:val="006A354A"/>
    <w:rsid w:val="006A3A3C"/>
    <w:rsid w:val="006A46D4"/>
    <w:rsid w:val="006A5721"/>
    <w:rsid w:val="006A5C36"/>
    <w:rsid w:val="006A5D91"/>
    <w:rsid w:val="006A6AD6"/>
    <w:rsid w:val="006A6B12"/>
    <w:rsid w:val="006A7701"/>
    <w:rsid w:val="006A772E"/>
    <w:rsid w:val="006B0258"/>
    <w:rsid w:val="006B0399"/>
    <w:rsid w:val="006B053F"/>
    <w:rsid w:val="006B0BA8"/>
    <w:rsid w:val="006B1518"/>
    <w:rsid w:val="006B2522"/>
    <w:rsid w:val="006B309E"/>
    <w:rsid w:val="006B356F"/>
    <w:rsid w:val="006B474C"/>
    <w:rsid w:val="006B5662"/>
    <w:rsid w:val="006B6F48"/>
    <w:rsid w:val="006B71E3"/>
    <w:rsid w:val="006C043E"/>
    <w:rsid w:val="006C13C9"/>
    <w:rsid w:val="006C2CE8"/>
    <w:rsid w:val="006C33C4"/>
    <w:rsid w:val="006C4804"/>
    <w:rsid w:val="006C5AD5"/>
    <w:rsid w:val="006C5F46"/>
    <w:rsid w:val="006C690E"/>
    <w:rsid w:val="006D138C"/>
    <w:rsid w:val="006D1AD6"/>
    <w:rsid w:val="006D2C07"/>
    <w:rsid w:val="006D31B9"/>
    <w:rsid w:val="006D592A"/>
    <w:rsid w:val="006D5D3C"/>
    <w:rsid w:val="006D607F"/>
    <w:rsid w:val="006D7465"/>
    <w:rsid w:val="006D74C6"/>
    <w:rsid w:val="006D7A57"/>
    <w:rsid w:val="006D7A85"/>
    <w:rsid w:val="006E046D"/>
    <w:rsid w:val="006E0C09"/>
    <w:rsid w:val="006E0E42"/>
    <w:rsid w:val="006E1429"/>
    <w:rsid w:val="006E1E1E"/>
    <w:rsid w:val="006E1E4D"/>
    <w:rsid w:val="006E24F0"/>
    <w:rsid w:val="006E2B60"/>
    <w:rsid w:val="006E3830"/>
    <w:rsid w:val="006E3E34"/>
    <w:rsid w:val="006E40B1"/>
    <w:rsid w:val="006E4790"/>
    <w:rsid w:val="006E49C9"/>
    <w:rsid w:val="006E61CB"/>
    <w:rsid w:val="006E6218"/>
    <w:rsid w:val="006E67D0"/>
    <w:rsid w:val="006E6F0A"/>
    <w:rsid w:val="006E76F6"/>
    <w:rsid w:val="006E7F61"/>
    <w:rsid w:val="006F0327"/>
    <w:rsid w:val="006F099C"/>
    <w:rsid w:val="006F27AA"/>
    <w:rsid w:val="006F393C"/>
    <w:rsid w:val="006F39E0"/>
    <w:rsid w:val="006F4075"/>
    <w:rsid w:val="006F4A39"/>
    <w:rsid w:val="006F52B8"/>
    <w:rsid w:val="006F5D48"/>
    <w:rsid w:val="006F606F"/>
    <w:rsid w:val="006F75C2"/>
    <w:rsid w:val="006F79A6"/>
    <w:rsid w:val="00700E43"/>
    <w:rsid w:val="00701901"/>
    <w:rsid w:val="00701B04"/>
    <w:rsid w:val="007023D8"/>
    <w:rsid w:val="0070275F"/>
    <w:rsid w:val="0070284A"/>
    <w:rsid w:val="00702FAE"/>
    <w:rsid w:val="007032F1"/>
    <w:rsid w:val="0070388A"/>
    <w:rsid w:val="0070422E"/>
    <w:rsid w:val="00704C1B"/>
    <w:rsid w:val="00705DE9"/>
    <w:rsid w:val="00705E86"/>
    <w:rsid w:val="007062B2"/>
    <w:rsid w:val="0070709E"/>
    <w:rsid w:val="00707411"/>
    <w:rsid w:val="007076E1"/>
    <w:rsid w:val="007077B7"/>
    <w:rsid w:val="00710D29"/>
    <w:rsid w:val="007110D3"/>
    <w:rsid w:val="007115BC"/>
    <w:rsid w:val="0071190D"/>
    <w:rsid w:val="007119C0"/>
    <w:rsid w:val="0071351E"/>
    <w:rsid w:val="00714822"/>
    <w:rsid w:val="00715B21"/>
    <w:rsid w:val="00716071"/>
    <w:rsid w:val="0071684A"/>
    <w:rsid w:val="00717919"/>
    <w:rsid w:val="00717DE7"/>
    <w:rsid w:val="00717FE4"/>
    <w:rsid w:val="00720CD8"/>
    <w:rsid w:val="00721321"/>
    <w:rsid w:val="00721E9A"/>
    <w:rsid w:val="00722ABD"/>
    <w:rsid w:val="0072384B"/>
    <w:rsid w:val="007249C1"/>
    <w:rsid w:val="00724B02"/>
    <w:rsid w:val="007257B0"/>
    <w:rsid w:val="00725CDC"/>
    <w:rsid w:val="00726816"/>
    <w:rsid w:val="00726842"/>
    <w:rsid w:val="00726AA9"/>
    <w:rsid w:val="00727261"/>
    <w:rsid w:val="00730074"/>
    <w:rsid w:val="00730AFF"/>
    <w:rsid w:val="00731252"/>
    <w:rsid w:val="00731B9C"/>
    <w:rsid w:val="00733DC7"/>
    <w:rsid w:val="00734232"/>
    <w:rsid w:val="007363D0"/>
    <w:rsid w:val="007363E9"/>
    <w:rsid w:val="00736794"/>
    <w:rsid w:val="007371CA"/>
    <w:rsid w:val="007375E5"/>
    <w:rsid w:val="00737ADE"/>
    <w:rsid w:val="00741241"/>
    <w:rsid w:val="00741C13"/>
    <w:rsid w:val="00741D3B"/>
    <w:rsid w:val="00743A8A"/>
    <w:rsid w:val="00743A98"/>
    <w:rsid w:val="00743E21"/>
    <w:rsid w:val="00743E7E"/>
    <w:rsid w:val="00744875"/>
    <w:rsid w:val="00744CF9"/>
    <w:rsid w:val="00745685"/>
    <w:rsid w:val="0074595C"/>
    <w:rsid w:val="00746092"/>
    <w:rsid w:val="00746D63"/>
    <w:rsid w:val="007474A6"/>
    <w:rsid w:val="00747BAB"/>
    <w:rsid w:val="007502EF"/>
    <w:rsid w:val="0075048E"/>
    <w:rsid w:val="007526B3"/>
    <w:rsid w:val="00752F92"/>
    <w:rsid w:val="007531BB"/>
    <w:rsid w:val="0075336B"/>
    <w:rsid w:val="007542F3"/>
    <w:rsid w:val="0075448C"/>
    <w:rsid w:val="00755A95"/>
    <w:rsid w:val="007568F5"/>
    <w:rsid w:val="00756BCD"/>
    <w:rsid w:val="00756CAA"/>
    <w:rsid w:val="00760E0C"/>
    <w:rsid w:val="00760E83"/>
    <w:rsid w:val="00761A7F"/>
    <w:rsid w:val="0076235A"/>
    <w:rsid w:val="007627BE"/>
    <w:rsid w:val="00763549"/>
    <w:rsid w:val="00764099"/>
    <w:rsid w:val="00764336"/>
    <w:rsid w:val="00764A51"/>
    <w:rsid w:val="00765644"/>
    <w:rsid w:val="00765B54"/>
    <w:rsid w:val="007664D1"/>
    <w:rsid w:val="007667F0"/>
    <w:rsid w:val="007679A2"/>
    <w:rsid w:val="00767C73"/>
    <w:rsid w:val="00771BB0"/>
    <w:rsid w:val="007725DB"/>
    <w:rsid w:val="00772E20"/>
    <w:rsid w:val="00772F88"/>
    <w:rsid w:val="007734A4"/>
    <w:rsid w:val="0077400C"/>
    <w:rsid w:val="00774207"/>
    <w:rsid w:val="00774339"/>
    <w:rsid w:val="00775709"/>
    <w:rsid w:val="00775887"/>
    <w:rsid w:val="00776D7D"/>
    <w:rsid w:val="007771FD"/>
    <w:rsid w:val="0077731B"/>
    <w:rsid w:val="007775E0"/>
    <w:rsid w:val="00777AA1"/>
    <w:rsid w:val="00780788"/>
    <w:rsid w:val="00780A66"/>
    <w:rsid w:val="00780B3D"/>
    <w:rsid w:val="00780B60"/>
    <w:rsid w:val="00780BF9"/>
    <w:rsid w:val="00781C0C"/>
    <w:rsid w:val="0078423B"/>
    <w:rsid w:val="007843E4"/>
    <w:rsid w:val="00784774"/>
    <w:rsid w:val="00784836"/>
    <w:rsid w:val="00784AD1"/>
    <w:rsid w:val="00784DA0"/>
    <w:rsid w:val="00784E73"/>
    <w:rsid w:val="007863A0"/>
    <w:rsid w:val="00787066"/>
    <w:rsid w:val="00787C76"/>
    <w:rsid w:val="00787DA7"/>
    <w:rsid w:val="00790229"/>
    <w:rsid w:val="007903B2"/>
    <w:rsid w:val="00790E7E"/>
    <w:rsid w:val="007918D1"/>
    <w:rsid w:val="00791A76"/>
    <w:rsid w:val="00791B7B"/>
    <w:rsid w:val="00792073"/>
    <w:rsid w:val="00793451"/>
    <w:rsid w:val="00793475"/>
    <w:rsid w:val="00793E9F"/>
    <w:rsid w:val="00794160"/>
    <w:rsid w:val="00794BFB"/>
    <w:rsid w:val="00794CF9"/>
    <w:rsid w:val="00796BD1"/>
    <w:rsid w:val="007A05AB"/>
    <w:rsid w:val="007A069F"/>
    <w:rsid w:val="007A0B53"/>
    <w:rsid w:val="007A14F3"/>
    <w:rsid w:val="007A15CD"/>
    <w:rsid w:val="007A2135"/>
    <w:rsid w:val="007A28E3"/>
    <w:rsid w:val="007A3B60"/>
    <w:rsid w:val="007A3FC5"/>
    <w:rsid w:val="007A5B2F"/>
    <w:rsid w:val="007A5F06"/>
    <w:rsid w:val="007A6B74"/>
    <w:rsid w:val="007A7B5A"/>
    <w:rsid w:val="007A7E02"/>
    <w:rsid w:val="007B0375"/>
    <w:rsid w:val="007B09BC"/>
    <w:rsid w:val="007B0E98"/>
    <w:rsid w:val="007B12CB"/>
    <w:rsid w:val="007B12E7"/>
    <w:rsid w:val="007B19CC"/>
    <w:rsid w:val="007B214D"/>
    <w:rsid w:val="007B21EC"/>
    <w:rsid w:val="007B2542"/>
    <w:rsid w:val="007B35A5"/>
    <w:rsid w:val="007B3BD2"/>
    <w:rsid w:val="007B5000"/>
    <w:rsid w:val="007B55E1"/>
    <w:rsid w:val="007B5CAA"/>
    <w:rsid w:val="007B693F"/>
    <w:rsid w:val="007B6B05"/>
    <w:rsid w:val="007B6FDE"/>
    <w:rsid w:val="007B7C63"/>
    <w:rsid w:val="007B7EAE"/>
    <w:rsid w:val="007C0B18"/>
    <w:rsid w:val="007C0C65"/>
    <w:rsid w:val="007C0E87"/>
    <w:rsid w:val="007C273A"/>
    <w:rsid w:val="007C2FDC"/>
    <w:rsid w:val="007C34B1"/>
    <w:rsid w:val="007C47C5"/>
    <w:rsid w:val="007C4F3B"/>
    <w:rsid w:val="007C50C9"/>
    <w:rsid w:val="007C5FEE"/>
    <w:rsid w:val="007C6C76"/>
    <w:rsid w:val="007C7E41"/>
    <w:rsid w:val="007D0265"/>
    <w:rsid w:val="007D02F4"/>
    <w:rsid w:val="007D0D8D"/>
    <w:rsid w:val="007D0DDA"/>
    <w:rsid w:val="007D20A9"/>
    <w:rsid w:val="007D20BC"/>
    <w:rsid w:val="007D2E8E"/>
    <w:rsid w:val="007D332D"/>
    <w:rsid w:val="007D59CD"/>
    <w:rsid w:val="007D6895"/>
    <w:rsid w:val="007D692E"/>
    <w:rsid w:val="007E01E8"/>
    <w:rsid w:val="007E04F9"/>
    <w:rsid w:val="007E058D"/>
    <w:rsid w:val="007E0744"/>
    <w:rsid w:val="007E131C"/>
    <w:rsid w:val="007E1BA4"/>
    <w:rsid w:val="007E2195"/>
    <w:rsid w:val="007E241B"/>
    <w:rsid w:val="007E272C"/>
    <w:rsid w:val="007E2907"/>
    <w:rsid w:val="007E3FEE"/>
    <w:rsid w:val="007E471F"/>
    <w:rsid w:val="007E4ACC"/>
    <w:rsid w:val="007E4E66"/>
    <w:rsid w:val="007E4EF9"/>
    <w:rsid w:val="007E5684"/>
    <w:rsid w:val="007E5C99"/>
    <w:rsid w:val="007E5CCF"/>
    <w:rsid w:val="007E5E03"/>
    <w:rsid w:val="007E6108"/>
    <w:rsid w:val="007E6686"/>
    <w:rsid w:val="007E6A11"/>
    <w:rsid w:val="007E6A9A"/>
    <w:rsid w:val="007E71A1"/>
    <w:rsid w:val="007E75F3"/>
    <w:rsid w:val="007E7897"/>
    <w:rsid w:val="007F0848"/>
    <w:rsid w:val="007F0F07"/>
    <w:rsid w:val="007F14FD"/>
    <w:rsid w:val="007F1EF5"/>
    <w:rsid w:val="007F1F28"/>
    <w:rsid w:val="007F22B3"/>
    <w:rsid w:val="007F3176"/>
    <w:rsid w:val="007F3768"/>
    <w:rsid w:val="007F399D"/>
    <w:rsid w:val="007F405C"/>
    <w:rsid w:val="007F44A1"/>
    <w:rsid w:val="007F490B"/>
    <w:rsid w:val="007F49E9"/>
    <w:rsid w:val="007F5932"/>
    <w:rsid w:val="007F6E2E"/>
    <w:rsid w:val="007F76BC"/>
    <w:rsid w:val="007F7F28"/>
    <w:rsid w:val="0080012C"/>
    <w:rsid w:val="008008E4"/>
    <w:rsid w:val="00800EA5"/>
    <w:rsid w:val="008025D9"/>
    <w:rsid w:val="00803194"/>
    <w:rsid w:val="00803BA5"/>
    <w:rsid w:val="008043ED"/>
    <w:rsid w:val="008047ED"/>
    <w:rsid w:val="00804DD3"/>
    <w:rsid w:val="0080556E"/>
    <w:rsid w:val="008055F8"/>
    <w:rsid w:val="00805EB5"/>
    <w:rsid w:val="00805F27"/>
    <w:rsid w:val="0080647F"/>
    <w:rsid w:val="00807352"/>
    <w:rsid w:val="008076A2"/>
    <w:rsid w:val="00807ABB"/>
    <w:rsid w:val="0081002E"/>
    <w:rsid w:val="0081010D"/>
    <w:rsid w:val="0081026E"/>
    <w:rsid w:val="008102A0"/>
    <w:rsid w:val="0081085C"/>
    <w:rsid w:val="0081120C"/>
    <w:rsid w:val="00812D7F"/>
    <w:rsid w:val="00813356"/>
    <w:rsid w:val="00813A81"/>
    <w:rsid w:val="00814D96"/>
    <w:rsid w:val="00815270"/>
    <w:rsid w:val="00815D82"/>
    <w:rsid w:val="00817FD6"/>
    <w:rsid w:val="008202D3"/>
    <w:rsid w:val="0082048F"/>
    <w:rsid w:val="00820622"/>
    <w:rsid w:val="00820CEC"/>
    <w:rsid w:val="00820DB2"/>
    <w:rsid w:val="008213AE"/>
    <w:rsid w:val="00822C74"/>
    <w:rsid w:val="00822D5B"/>
    <w:rsid w:val="00823090"/>
    <w:rsid w:val="0082460C"/>
    <w:rsid w:val="00824CF5"/>
    <w:rsid w:val="00825202"/>
    <w:rsid w:val="00826C1C"/>
    <w:rsid w:val="00826F0D"/>
    <w:rsid w:val="00827C1C"/>
    <w:rsid w:val="00827ED6"/>
    <w:rsid w:val="0083095E"/>
    <w:rsid w:val="00831116"/>
    <w:rsid w:val="008315F0"/>
    <w:rsid w:val="0083181C"/>
    <w:rsid w:val="00831A64"/>
    <w:rsid w:val="00831B76"/>
    <w:rsid w:val="0083285C"/>
    <w:rsid w:val="00832918"/>
    <w:rsid w:val="00832B1D"/>
    <w:rsid w:val="0083318F"/>
    <w:rsid w:val="00833473"/>
    <w:rsid w:val="0083393B"/>
    <w:rsid w:val="00833F1F"/>
    <w:rsid w:val="008347DB"/>
    <w:rsid w:val="008350C2"/>
    <w:rsid w:val="008357BE"/>
    <w:rsid w:val="00835EC6"/>
    <w:rsid w:val="008363E1"/>
    <w:rsid w:val="008368B7"/>
    <w:rsid w:val="008371E0"/>
    <w:rsid w:val="00840A73"/>
    <w:rsid w:val="00841568"/>
    <w:rsid w:val="008415DF"/>
    <w:rsid w:val="00841EA3"/>
    <w:rsid w:val="00842A69"/>
    <w:rsid w:val="00843092"/>
    <w:rsid w:val="00843596"/>
    <w:rsid w:val="00844051"/>
    <w:rsid w:val="0084517F"/>
    <w:rsid w:val="00845795"/>
    <w:rsid w:val="00845BF9"/>
    <w:rsid w:val="008461B3"/>
    <w:rsid w:val="0084672E"/>
    <w:rsid w:val="00847D17"/>
    <w:rsid w:val="008501AF"/>
    <w:rsid w:val="0085051D"/>
    <w:rsid w:val="00850825"/>
    <w:rsid w:val="00851502"/>
    <w:rsid w:val="00851A15"/>
    <w:rsid w:val="00852010"/>
    <w:rsid w:val="008524E2"/>
    <w:rsid w:val="00852C71"/>
    <w:rsid w:val="00852C91"/>
    <w:rsid w:val="00853B7F"/>
    <w:rsid w:val="00853D64"/>
    <w:rsid w:val="0085473B"/>
    <w:rsid w:val="00854F51"/>
    <w:rsid w:val="008557F1"/>
    <w:rsid w:val="00855808"/>
    <w:rsid w:val="00856D03"/>
    <w:rsid w:val="00857376"/>
    <w:rsid w:val="0085769F"/>
    <w:rsid w:val="00857850"/>
    <w:rsid w:val="00860271"/>
    <w:rsid w:val="008632B8"/>
    <w:rsid w:val="00864375"/>
    <w:rsid w:val="008645AF"/>
    <w:rsid w:val="00864A50"/>
    <w:rsid w:val="00865B9C"/>
    <w:rsid w:val="00866283"/>
    <w:rsid w:val="008672A6"/>
    <w:rsid w:val="00867777"/>
    <w:rsid w:val="00870C37"/>
    <w:rsid w:val="008712BB"/>
    <w:rsid w:val="0087147C"/>
    <w:rsid w:val="00871967"/>
    <w:rsid w:val="0087212B"/>
    <w:rsid w:val="008727FE"/>
    <w:rsid w:val="00872BBC"/>
    <w:rsid w:val="0087308D"/>
    <w:rsid w:val="008733D9"/>
    <w:rsid w:val="00873AA0"/>
    <w:rsid w:val="00876B98"/>
    <w:rsid w:val="00876BA4"/>
    <w:rsid w:val="0087723F"/>
    <w:rsid w:val="008779A3"/>
    <w:rsid w:val="00880378"/>
    <w:rsid w:val="008808D0"/>
    <w:rsid w:val="00880F94"/>
    <w:rsid w:val="008810AE"/>
    <w:rsid w:val="00883FEF"/>
    <w:rsid w:val="008846C2"/>
    <w:rsid w:val="00885279"/>
    <w:rsid w:val="00885CB2"/>
    <w:rsid w:val="008862AA"/>
    <w:rsid w:val="00890101"/>
    <w:rsid w:val="00890163"/>
    <w:rsid w:val="00890503"/>
    <w:rsid w:val="00891A2C"/>
    <w:rsid w:val="00891CC2"/>
    <w:rsid w:val="00891CE1"/>
    <w:rsid w:val="008922D5"/>
    <w:rsid w:val="0089416B"/>
    <w:rsid w:val="008949C7"/>
    <w:rsid w:val="0089571C"/>
    <w:rsid w:val="0089583B"/>
    <w:rsid w:val="00895C5B"/>
    <w:rsid w:val="008975FA"/>
    <w:rsid w:val="008979C3"/>
    <w:rsid w:val="00897E43"/>
    <w:rsid w:val="00897F90"/>
    <w:rsid w:val="008A0AB1"/>
    <w:rsid w:val="008A10CC"/>
    <w:rsid w:val="008A1782"/>
    <w:rsid w:val="008A19AB"/>
    <w:rsid w:val="008A1D45"/>
    <w:rsid w:val="008A2933"/>
    <w:rsid w:val="008A3134"/>
    <w:rsid w:val="008A4B0A"/>
    <w:rsid w:val="008A591D"/>
    <w:rsid w:val="008A6068"/>
    <w:rsid w:val="008A6C78"/>
    <w:rsid w:val="008A6EB7"/>
    <w:rsid w:val="008A767D"/>
    <w:rsid w:val="008B0307"/>
    <w:rsid w:val="008B0A3D"/>
    <w:rsid w:val="008B1001"/>
    <w:rsid w:val="008B1161"/>
    <w:rsid w:val="008B1555"/>
    <w:rsid w:val="008B1971"/>
    <w:rsid w:val="008B207D"/>
    <w:rsid w:val="008B2B2C"/>
    <w:rsid w:val="008B2C82"/>
    <w:rsid w:val="008B3884"/>
    <w:rsid w:val="008B3BB0"/>
    <w:rsid w:val="008B45A1"/>
    <w:rsid w:val="008B4A14"/>
    <w:rsid w:val="008B4F30"/>
    <w:rsid w:val="008B5BF9"/>
    <w:rsid w:val="008B5CEA"/>
    <w:rsid w:val="008B5F5B"/>
    <w:rsid w:val="008B72BB"/>
    <w:rsid w:val="008C05B8"/>
    <w:rsid w:val="008C1FFB"/>
    <w:rsid w:val="008C33DF"/>
    <w:rsid w:val="008C3A91"/>
    <w:rsid w:val="008C3F58"/>
    <w:rsid w:val="008C44FF"/>
    <w:rsid w:val="008C52F0"/>
    <w:rsid w:val="008C5627"/>
    <w:rsid w:val="008C57C9"/>
    <w:rsid w:val="008C680D"/>
    <w:rsid w:val="008C72EC"/>
    <w:rsid w:val="008D02A1"/>
    <w:rsid w:val="008D0459"/>
    <w:rsid w:val="008D0461"/>
    <w:rsid w:val="008D06FB"/>
    <w:rsid w:val="008D070F"/>
    <w:rsid w:val="008D15BB"/>
    <w:rsid w:val="008D2073"/>
    <w:rsid w:val="008D2941"/>
    <w:rsid w:val="008D2F3C"/>
    <w:rsid w:val="008D34ED"/>
    <w:rsid w:val="008D4641"/>
    <w:rsid w:val="008D490F"/>
    <w:rsid w:val="008D4B8E"/>
    <w:rsid w:val="008D538E"/>
    <w:rsid w:val="008D597D"/>
    <w:rsid w:val="008D6225"/>
    <w:rsid w:val="008D6DC0"/>
    <w:rsid w:val="008D74D0"/>
    <w:rsid w:val="008D7BDC"/>
    <w:rsid w:val="008E036C"/>
    <w:rsid w:val="008E0D7A"/>
    <w:rsid w:val="008E0E4B"/>
    <w:rsid w:val="008E1AE7"/>
    <w:rsid w:val="008E2D10"/>
    <w:rsid w:val="008E4029"/>
    <w:rsid w:val="008E45F5"/>
    <w:rsid w:val="008E4812"/>
    <w:rsid w:val="008E4949"/>
    <w:rsid w:val="008E5A2F"/>
    <w:rsid w:val="008E5DF9"/>
    <w:rsid w:val="008E6E88"/>
    <w:rsid w:val="008F0D4F"/>
    <w:rsid w:val="008F1C75"/>
    <w:rsid w:val="008F218E"/>
    <w:rsid w:val="008F2256"/>
    <w:rsid w:val="008F2730"/>
    <w:rsid w:val="008F3555"/>
    <w:rsid w:val="008F45AB"/>
    <w:rsid w:val="008F4663"/>
    <w:rsid w:val="008F5556"/>
    <w:rsid w:val="008F55E6"/>
    <w:rsid w:val="008F563B"/>
    <w:rsid w:val="008F73DE"/>
    <w:rsid w:val="008F753E"/>
    <w:rsid w:val="00900943"/>
    <w:rsid w:val="00901AB5"/>
    <w:rsid w:val="00901CE3"/>
    <w:rsid w:val="00901D8B"/>
    <w:rsid w:val="009020A3"/>
    <w:rsid w:val="00902AB2"/>
    <w:rsid w:val="00903373"/>
    <w:rsid w:val="00903F61"/>
    <w:rsid w:val="00904847"/>
    <w:rsid w:val="00904C99"/>
    <w:rsid w:val="009076D5"/>
    <w:rsid w:val="00907BAB"/>
    <w:rsid w:val="00907F05"/>
    <w:rsid w:val="009109F1"/>
    <w:rsid w:val="00910DE9"/>
    <w:rsid w:val="0091237F"/>
    <w:rsid w:val="00912607"/>
    <w:rsid w:val="00913002"/>
    <w:rsid w:val="00913062"/>
    <w:rsid w:val="00914266"/>
    <w:rsid w:val="00914D6A"/>
    <w:rsid w:val="00915622"/>
    <w:rsid w:val="00915AFD"/>
    <w:rsid w:val="00915D41"/>
    <w:rsid w:val="0091602B"/>
    <w:rsid w:val="00916BAE"/>
    <w:rsid w:val="0092041A"/>
    <w:rsid w:val="00920BF8"/>
    <w:rsid w:val="00923C92"/>
    <w:rsid w:val="00923EFF"/>
    <w:rsid w:val="00924120"/>
    <w:rsid w:val="00924263"/>
    <w:rsid w:val="0092428D"/>
    <w:rsid w:val="009248E7"/>
    <w:rsid w:val="009252CF"/>
    <w:rsid w:val="00925ACE"/>
    <w:rsid w:val="009266CE"/>
    <w:rsid w:val="009268DD"/>
    <w:rsid w:val="0092787F"/>
    <w:rsid w:val="009279A6"/>
    <w:rsid w:val="00927A04"/>
    <w:rsid w:val="00930282"/>
    <w:rsid w:val="00930BA7"/>
    <w:rsid w:val="00930D42"/>
    <w:rsid w:val="00931DF9"/>
    <w:rsid w:val="00932D17"/>
    <w:rsid w:val="00932E39"/>
    <w:rsid w:val="009332AE"/>
    <w:rsid w:val="0093353D"/>
    <w:rsid w:val="00933F1C"/>
    <w:rsid w:val="00934A6D"/>
    <w:rsid w:val="00935B2A"/>
    <w:rsid w:val="00936C32"/>
    <w:rsid w:val="00936D69"/>
    <w:rsid w:val="00937BF9"/>
    <w:rsid w:val="009410BB"/>
    <w:rsid w:val="00941D9F"/>
    <w:rsid w:val="009421B6"/>
    <w:rsid w:val="009428D3"/>
    <w:rsid w:val="009436F8"/>
    <w:rsid w:val="0094373F"/>
    <w:rsid w:val="0094383D"/>
    <w:rsid w:val="00943CC0"/>
    <w:rsid w:val="0094459E"/>
    <w:rsid w:val="0094627B"/>
    <w:rsid w:val="00946893"/>
    <w:rsid w:val="00947D4F"/>
    <w:rsid w:val="00950666"/>
    <w:rsid w:val="00950773"/>
    <w:rsid w:val="00950918"/>
    <w:rsid w:val="00951310"/>
    <w:rsid w:val="009521BF"/>
    <w:rsid w:val="00952AAA"/>
    <w:rsid w:val="00952F7D"/>
    <w:rsid w:val="009532E6"/>
    <w:rsid w:val="00953835"/>
    <w:rsid w:val="00953ECB"/>
    <w:rsid w:val="00953EE0"/>
    <w:rsid w:val="00953F91"/>
    <w:rsid w:val="00955B88"/>
    <w:rsid w:val="00955DB0"/>
    <w:rsid w:val="00955FC1"/>
    <w:rsid w:val="00956B20"/>
    <w:rsid w:val="00957197"/>
    <w:rsid w:val="00957B32"/>
    <w:rsid w:val="00960475"/>
    <w:rsid w:val="0096072B"/>
    <w:rsid w:val="00961F65"/>
    <w:rsid w:val="00962BC8"/>
    <w:rsid w:val="00962C03"/>
    <w:rsid w:val="00962C29"/>
    <w:rsid w:val="00962F43"/>
    <w:rsid w:val="009630BD"/>
    <w:rsid w:val="00963645"/>
    <w:rsid w:val="00963F1E"/>
    <w:rsid w:val="009645F7"/>
    <w:rsid w:val="00964D41"/>
    <w:rsid w:val="009652A0"/>
    <w:rsid w:val="00965636"/>
    <w:rsid w:val="00965B5C"/>
    <w:rsid w:val="00966505"/>
    <w:rsid w:val="00967A78"/>
    <w:rsid w:val="00970A77"/>
    <w:rsid w:val="00971659"/>
    <w:rsid w:val="00971949"/>
    <w:rsid w:val="00972508"/>
    <w:rsid w:val="00972B42"/>
    <w:rsid w:val="00972E7F"/>
    <w:rsid w:val="00973001"/>
    <w:rsid w:val="00973DB5"/>
    <w:rsid w:val="00975462"/>
    <w:rsid w:val="00976A6C"/>
    <w:rsid w:val="00976BE8"/>
    <w:rsid w:val="00977A91"/>
    <w:rsid w:val="0098052C"/>
    <w:rsid w:val="00980854"/>
    <w:rsid w:val="0098164F"/>
    <w:rsid w:val="00982BC4"/>
    <w:rsid w:val="009833A7"/>
    <w:rsid w:val="009836AF"/>
    <w:rsid w:val="00983FAD"/>
    <w:rsid w:val="009859D7"/>
    <w:rsid w:val="00987689"/>
    <w:rsid w:val="0099017F"/>
    <w:rsid w:val="009901F8"/>
    <w:rsid w:val="0099058B"/>
    <w:rsid w:val="009906C3"/>
    <w:rsid w:val="0099097B"/>
    <w:rsid w:val="00990CFB"/>
    <w:rsid w:val="00991EC1"/>
    <w:rsid w:val="00992C64"/>
    <w:rsid w:val="00993045"/>
    <w:rsid w:val="009933C5"/>
    <w:rsid w:val="00993436"/>
    <w:rsid w:val="00993661"/>
    <w:rsid w:val="009939D3"/>
    <w:rsid w:val="00994A17"/>
    <w:rsid w:val="009956EE"/>
    <w:rsid w:val="00995806"/>
    <w:rsid w:val="009958E1"/>
    <w:rsid w:val="00995B54"/>
    <w:rsid w:val="009963A9"/>
    <w:rsid w:val="00997A41"/>
    <w:rsid w:val="00997D50"/>
    <w:rsid w:val="009A0208"/>
    <w:rsid w:val="009A065F"/>
    <w:rsid w:val="009A097D"/>
    <w:rsid w:val="009A3282"/>
    <w:rsid w:val="009A3E6D"/>
    <w:rsid w:val="009A40FD"/>
    <w:rsid w:val="009A41D3"/>
    <w:rsid w:val="009A4D79"/>
    <w:rsid w:val="009A57F0"/>
    <w:rsid w:val="009A5C21"/>
    <w:rsid w:val="009A7FEF"/>
    <w:rsid w:val="009B0033"/>
    <w:rsid w:val="009B02AB"/>
    <w:rsid w:val="009B0527"/>
    <w:rsid w:val="009B112C"/>
    <w:rsid w:val="009B13C4"/>
    <w:rsid w:val="009B255A"/>
    <w:rsid w:val="009B2AA8"/>
    <w:rsid w:val="009B33DE"/>
    <w:rsid w:val="009B4484"/>
    <w:rsid w:val="009B4E49"/>
    <w:rsid w:val="009B5059"/>
    <w:rsid w:val="009B5945"/>
    <w:rsid w:val="009B5DD5"/>
    <w:rsid w:val="009B5F28"/>
    <w:rsid w:val="009B6214"/>
    <w:rsid w:val="009B719E"/>
    <w:rsid w:val="009B734F"/>
    <w:rsid w:val="009B7435"/>
    <w:rsid w:val="009B758A"/>
    <w:rsid w:val="009B7743"/>
    <w:rsid w:val="009B780E"/>
    <w:rsid w:val="009C0A99"/>
    <w:rsid w:val="009C119E"/>
    <w:rsid w:val="009C1274"/>
    <w:rsid w:val="009C1373"/>
    <w:rsid w:val="009C138D"/>
    <w:rsid w:val="009C15CD"/>
    <w:rsid w:val="009C1F76"/>
    <w:rsid w:val="009C2506"/>
    <w:rsid w:val="009C27A3"/>
    <w:rsid w:val="009C43BC"/>
    <w:rsid w:val="009C53D9"/>
    <w:rsid w:val="009C560D"/>
    <w:rsid w:val="009C584F"/>
    <w:rsid w:val="009C6609"/>
    <w:rsid w:val="009C6794"/>
    <w:rsid w:val="009C69C7"/>
    <w:rsid w:val="009C7272"/>
    <w:rsid w:val="009C7488"/>
    <w:rsid w:val="009C7DF9"/>
    <w:rsid w:val="009D07AC"/>
    <w:rsid w:val="009D133D"/>
    <w:rsid w:val="009D3011"/>
    <w:rsid w:val="009D3632"/>
    <w:rsid w:val="009D39EE"/>
    <w:rsid w:val="009D3B2F"/>
    <w:rsid w:val="009D45CE"/>
    <w:rsid w:val="009D4EE0"/>
    <w:rsid w:val="009D5718"/>
    <w:rsid w:val="009D5BC5"/>
    <w:rsid w:val="009D5C64"/>
    <w:rsid w:val="009D5EC3"/>
    <w:rsid w:val="009D6159"/>
    <w:rsid w:val="009D61CA"/>
    <w:rsid w:val="009D668F"/>
    <w:rsid w:val="009D6839"/>
    <w:rsid w:val="009D699E"/>
    <w:rsid w:val="009D7A66"/>
    <w:rsid w:val="009E0337"/>
    <w:rsid w:val="009E04DA"/>
    <w:rsid w:val="009E1A60"/>
    <w:rsid w:val="009E29BD"/>
    <w:rsid w:val="009E4AF6"/>
    <w:rsid w:val="009E50C9"/>
    <w:rsid w:val="009E58F8"/>
    <w:rsid w:val="009E5DE9"/>
    <w:rsid w:val="009E6741"/>
    <w:rsid w:val="009E6903"/>
    <w:rsid w:val="009E6C04"/>
    <w:rsid w:val="009E6DFE"/>
    <w:rsid w:val="009E7099"/>
    <w:rsid w:val="009F073F"/>
    <w:rsid w:val="009F179F"/>
    <w:rsid w:val="009F1B9B"/>
    <w:rsid w:val="009F218A"/>
    <w:rsid w:val="009F280C"/>
    <w:rsid w:val="009F3822"/>
    <w:rsid w:val="009F3C50"/>
    <w:rsid w:val="009F42AB"/>
    <w:rsid w:val="009F4CE9"/>
    <w:rsid w:val="009F4FAB"/>
    <w:rsid w:val="009F5292"/>
    <w:rsid w:val="009F55B1"/>
    <w:rsid w:val="009F6647"/>
    <w:rsid w:val="009F69D4"/>
    <w:rsid w:val="009F6FCA"/>
    <w:rsid w:val="00A01A1E"/>
    <w:rsid w:val="00A036AA"/>
    <w:rsid w:val="00A038C8"/>
    <w:rsid w:val="00A0432A"/>
    <w:rsid w:val="00A04F66"/>
    <w:rsid w:val="00A0528A"/>
    <w:rsid w:val="00A063D7"/>
    <w:rsid w:val="00A063F4"/>
    <w:rsid w:val="00A076E5"/>
    <w:rsid w:val="00A0792A"/>
    <w:rsid w:val="00A1085A"/>
    <w:rsid w:val="00A10D32"/>
    <w:rsid w:val="00A11AC2"/>
    <w:rsid w:val="00A11FDB"/>
    <w:rsid w:val="00A1260B"/>
    <w:rsid w:val="00A14050"/>
    <w:rsid w:val="00A140B7"/>
    <w:rsid w:val="00A140EF"/>
    <w:rsid w:val="00A16199"/>
    <w:rsid w:val="00A163B7"/>
    <w:rsid w:val="00A166EE"/>
    <w:rsid w:val="00A16792"/>
    <w:rsid w:val="00A17010"/>
    <w:rsid w:val="00A17316"/>
    <w:rsid w:val="00A17644"/>
    <w:rsid w:val="00A212C8"/>
    <w:rsid w:val="00A214B3"/>
    <w:rsid w:val="00A21A59"/>
    <w:rsid w:val="00A223CD"/>
    <w:rsid w:val="00A2247C"/>
    <w:rsid w:val="00A22BBD"/>
    <w:rsid w:val="00A23244"/>
    <w:rsid w:val="00A236BB"/>
    <w:rsid w:val="00A23CEF"/>
    <w:rsid w:val="00A23E39"/>
    <w:rsid w:val="00A25340"/>
    <w:rsid w:val="00A25494"/>
    <w:rsid w:val="00A2672D"/>
    <w:rsid w:val="00A301F3"/>
    <w:rsid w:val="00A302E5"/>
    <w:rsid w:val="00A31173"/>
    <w:rsid w:val="00A3130B"/>
    <w:rsid w:val="00A3188B"/>
    <w:rsid w:val="00A31C7D"/>
    <w:rsid w:val="00A32418"/>
    <w:rsid w:val="00A33D87"/>
    <w:rsid w:val="00A34086"/>
    <w:rsid w:val="00A3439F"/>
    <w:rsid w:val="00A34834"/>
    <w:rsid w:val="00A34B19"/>
    <w:rsid w:val="00A34D42"/>
    <w:rsid w:val="00A35708"/>
    <w:rsid w:val="00A35736"/>
    <w:rsid w:val="00A35BFE"/>
    <w:rsid w:val="00A35C59"/>
    <w:rsid w:val="00A360A7"/>
    <w:rsid w:val="00A3619B"/>
    <w:rsid w:val="00A3791F"/>
    <w:rsid w:val="00A37F57"/>
    <w:rsid w:val="00A40E72"/>
    <w:rsid w:val="00A41964"/>
    <w:rsid w:val="00A41D2F"/>
    <w:rsid w:val="00A42435"/>
    <w:rsid w:val="00A426CE"/>
    <w:rsid w:val="00A430C7"/>
    <w:rsid w:val="00A4378B"/>
    <w:rsid w:val="00A43CB6"/>
    <w:rsid w:val="00A442D4"/>
    <w:rsid w:val="00A44326"/>
    <w:rsid w:val="00A444F6"/>
    <w:rsid w:val="00A44668"/>
    <w:rsid w:val="00A4472B"/>
    <w:rsid w:val="00A459FA"/>
    <w:rsid w:val="00A45D0B"/>
    <w:rsid w:val="00A45E11"/>
    <w:rsid w:val="00A4744F"/>
    <w:rsid w:val="00A47AC5"/>
    <w:rsid w:val="00A47E80"/>
    <w:rsid w:val="00A503A4"/>
    <w:rsid w:val="00A50884"/>
    <w:rsid w:val="00A50BC2"/>
    <w:rsid w:val="00A520FB"/>
    <w:rsid w:val="00A529D3"/>
    <w:rsid w:val="00A53660"/>
    <w:rsid w:val="00A53CA5"/>
    <w:rsid w:val="00A54DAF"/>
    <w:rsid w:val="00A5545E"/>
    <w:rsid w:val="00A557C6"/>
    <w:rsid w:val="00A55F27"/>
    <w:rsid w:val="00A56CA1"/>
    <w:rsid w:val="00A57209"/>
    <w:rsid w:val="00A57973"/>
    <w:rsid w:val="00A57A67"/>
    <w:rsid w:val="00A60698"/>
    <w:rsid w:val="00A60850"/>
    <w:rsid w:val="00A60BEB"/>
    <w:rsid w:val="00A61522"/>
    <w:rsid w:val="00A61617"/>
    <w:rsid w:val="00A6193B"/>
    <w:rsid w:val="00A61CAC"/>
    <w:rsid w:val="00A625E9"/>
    <w:rsid w:val="00A6278A"/>
    <w:rsid w:val="00A629DE"/>
    <w:rsid w:val="00A63234"/>
    <w:rsid w:val="00A63CF7"/>
    <w:rsid w:val="00A649C0"/>
    <w:rsid w:val="00A64E38"/>
    <w:rsid w:val="00A6528D"/>
    <w:rsid w:val="00A655A9"/>
    <w:rsid w:val="00A70C0F"/>
    <w:rsid w:val="00A71486"/>
    <w:rsid w:val="00A72336"/>
    <w:rsid w:val="00A72584"/>
    <w:rsid w:val="00A72D87"/>
    <w:rsid w:val="00A72FCE"/>
    <w:rsid w:val="00A7381D"/>
    <w:rsid w:val="00A742F0"/>
    <w:rsid w:val="00A7472A"/>
    <w:rsid w:val="00A74825"/>
    <w:rsid w:val="00A748BB"/>
    <w:rsid w:val="00A76CF8"/>
    <w:rsid w:val="00A771CA"/>
    <w:rsid w:val="00A779BC"/>
    <w:rsid w:val="00A81027"/>
    <w:rsid w:val="00A816B7"/>
    <w:rsid w:val="00A825B3"/>
    <w:rsid w:val="00A82727"/>
    <w:rsid w:val="00A83DE3"/>
    <w:rsid w:val="00A85F1D"/>
    <w:rsid w:val="00A90239"/>
    <w:rsid w:val="00A90631"/>
    <w:rsid w:val="00A90697"/>
    <w:rsid w:val="00A91A8F"/>
    <w:rsid w:val="00A91AD7"/>
    <w:rsid w:val="00A91B8F"/>
    <w:rsid w:val="00A93EE9"/>
    <w:rsid w:val="00A942F5"/>
    <w:rsid w:val="00A94DD6"/>
    <w:rsid w:val="00A958B1"/>
    <w:rsid w:val="00A96EAF"/>
    <w:rsid w:val="00A97239"/>
    <w:rsid w:val="00AA10DF"/>
    <w:rsid w:val="00AA1529"/>
    <w:rsid w:val="00AA1B5F"/>
    <w:rsid w:val="00AA1CB1"/>
    <w:rsid w:val="00AA25C0"/>
    <w:rsid w:val="00AA34FD"/>
    <w:rsid w:val="00AA3A11"/>
    <w:rsid w:val="00AA3F1B"/>
    <w:rsid w:val="00AA531A"/>
    <w:rsid w:val="00AA5A92"/>
    <w:rsid w:val="00AA6790"/>
    <w:rsid w:val="00AA6B70"/>
    <w:rsid w:val="00AA6EF1"/>
    <w:rsid w:val="00AA70AC"/>
    <w:rsid w:val="00AA7512"/>
    <w:rsid w:val="00AB014D"/>
    <w:rsid w:val="00AB1211"/>
    <w:rsid w:val="00AB2A59"/>
    <w:rsid w:val="00AB3044"/>
    <w:rsid w:val="00AB3E9F"/>
    <w:rsid w:val="00AB3FB5"/>
    <w:rsid w:val="00AB4C09"/>
    <w:rsid w:val="00AB5825"/>
    <w:rsid w:val="00AB65A9"/>
    <w:rsid w:val="00AB6708"/>
    <w:rsid w:val="00AB6818"/>
    <w:rsid w:val="00AB6BE3"/>
    <w:rsid w:val="00AB6C89"/>
    <w:rsid w:val="00AB6F45"/>
    <w:rsid w:val="00AB7B0E"/>
    <w:rsid w:val="00AC056C"/>
    <w:rsid w:val="00AC07B1"/>
    <w:rsid w:val="00AC0F91"/>
    <w:rsid w:val="00AC120E"/>
    <w:rsid w:val="00AC14D6"/>
    <w:rsid w:val="00AC1A33"/>
    <w:rsid w:val="00AC231B"/>
    <w:rsid w:val="00AC233C"/>
    <w:rsid w:val="00AC2CA8"/>
    <w:rsid w:val="00AC33C4"/>
    <w:rsid w:val="00AC37F6"/>
    <w:rsid w:val="00AC383D"/>
    <w:rsid w:val="00AC3915"/>
    <w:rsid w:val="00AC4683"/>
    <w:rsid w:val="00AC5177"/>
    <w:rsid w:val="00AC568F"/>
    <w:rsid w:val="00AC640C"/>
    <w:rsid w:val="00AC6681"/>
    <w:rsid w:val="00AC6AAF"/>
    <w:rsid w:val="00AC6F1A"/>
    <w:rsid w:val="00AC7D67"/>
    <w:rsid w:val="00AD06E0"/>
    <w:rsid w:val="00AD10C9"/>
    <w:rsid w:val="00AD1670"/>
    <w:rsid w:val="00AD26D6"/>
    <w:rsid w:val="00AD2946"/>
    <w:rsid w:val="00AD30EB"/>
    <w:rsid w:val="00AD3F1E"/>
    <w:rsid w:val="00AD3F20"/>
    <w:rsid w:val="00AD436F"/>
    <w:rsid w:val="00AD4570"/>
    <w:rsid w:val="00AD5102"/>
    <w:rsid w:val="00AD5C2C"/>
    <w:rsid w:val="00AD601C"/>
    <w:rsid w:val="00AD6821"/>
    <w:rsid w:val="00AD7917"/>
    <w:rsid w:val="00AE007B"/>
    <w:rsid w:val="00AE0B5D"/>
    <w:rsid w:val="00AE0E25"/>
    <w:rsid w:val="00AE1060"/>
    <w:rsid w:val="00AE1A9B"/>
    <w:rsid w:val="00AE2269"/>
    <w:rsid w:val="00AE262B"/>
    <w:rsid w:val="00AE2ECF"/>
    <w:rsid w:val="00AE380A"/>
    <w:rsid w:val="00AE419E"/>
    <w:rsid w:val="00AE48C2"/>
    <w:rsid w:val="00AE4D06"/>
    <w:rsid w:val="00AE5CD2"/>
    <w:rsid w:val="00AE6EA7"/>
    <w:rsid w:val="00AE732A"/>
    <w:rsid w:val="00AE7742"/>
    <w:rsid w:val="00AF0864"/>
    <w:rsid w:val="00AF142B"/>
    <w:rsid w:val="00AF169A"/>
    <w:rsid w:val="00AF1DB2"/>
    <w:rsid w:val="00AF2EDA"/>
    <w:rsid w:val="00AF2FA6"/>
    <w:rsid w:val="00AF2FD6"/>
    <w:rsid w:val="00AF3F6E"/>
    <w:rsid w:val="00AF526A"/>
    <w:rsid w:val="00AF5ED5"/>
    <w:rsid w:val="00AF64EB"/>
    <w:rsid w:val="00AF6EA4"/>
    <w:rsid w:val="00AF7B9B"/>
    <w:rsid w:val="00B0084F"/>
    <w:rsid w:val="00B01074"/>
    <w:rsid w:val="00B01DEE"/>
    <w:rsid w:val="00B02535"/>
    <w:rsid w:val="00B028A9"/>
    <w:rsid w:val="00B03179"/>
    <w:rsid w:val="00B0443C"/>
    <w:rsid w:val="00B04B3B"/>
    <w:rsid w:val="00B05136"/>
    <w:rsid w:val="00B0541D"/>
    <w:rsid w:val="00B059D0"/>
    <w:rsid w:val="00B05B13"/>
    <w:rsid w:val="00B05DBC"/>
    <w:rsid w:val="00B06262"/>
    <w:rsid w:val="00B06691"/>
    <w:rsid w:val="00B06720"/>
    <w:rsid w:val="00B069E8"/>
    <w:rsid w:val="00B07FBD"/>
    <w:rsid w:val="00B10241"/>
    <w:rsid w:val="00B106F5"/>
    <w:rsid w:val="00B10C30"/>
    <w:rsid w:val="00B10C3C"/>
    <w:rsid w:val="00B11B87"/>
    <w:rsid w:val="00B140CF"/>
    <w:rsid w:val="00B1466C"/>
    <w:rsid w:val="00B146A3"/>
    <w:rsid w:val="00B148A6"/>
    <w:rsid w:val="00B15271"/>
    <w:rsid w:val="00B15F84"/>
    <w:rsid w:val="00B164F5"/>
    <w:rsid w:val="00B16AFD"/>
    <w:rsid w:val="00B17139"/>
    <w:rsid w:val="00B17B2D"/>
    <w:rsid w:val="00B20D4C"/>
    <w:rsid w:val="00B228D2"/>
    <w:rsid w:val="00B22DBB"/>
    <w:rsid w:val="00B22DD4"/>
    <w:rsid w:val="00B2493A"/>
    <w:rsid w:val="00B24957"/>
    <w:rsid w:val="00B24A6B"/>
    <w:rsid w:val="00B24DB2"/>
    <w:rsid w:val="00B26635"/>
    <w:rsid w:val="00B26F8F"/>
    <w:rsid w:val="00B279CE"/>
    <w:rsid w:val="00B302B2"/>
    <w:rsid w:val="00B30A56"/>
    <w:rsid w:val="00B3123B"/>
    <w:rsid w:val="00B312E2"/>
    <w:rsid w:val="00B32258"/>
    <w:rsid w:val="00B32860"/>
    <w:rsid w:val="00B332F7"/>
    <w:rsid w:val="00B3337A"/>
    <w:rsid w:val="00B33ACE"/>
    <w:rsid w:val="00B34000"/>
    <w:rsid w:val="00B34156"/>
    <w:rsid w:val="00B352A9"/>
    <w:rsid w:val="00B35A63"/>
    <w:rsid w:val="00B36153"/>
    <w:rsid w:val="00B37DB1"/>
    <w:rsid w:val="00B37EF0"/>
    <w:rsid w:val="00B4053D"/>
    <w:rsid w:val="00B40FB4"/>
    <w:rsid w:val="00B41D8F"/>
    <w:rsid w:val="00B44255"/>
    <w:rsid w:val="00B4456A"/>
    <w:rsid w:val="00B45C21"/>
    <w:rsid w:val="00B45FFF"/>
    <w:rsid w:val="00B466F5"/>
    <w:rsid w:val="00B4695E"/>
    <w:rsid w:val="00B46A4A"/>
    <w:rsid w:val="00B475D9"/>
    <w:rsid w:val="00B503A6"/>
    <w:rsid w:val="00B50D7F"/>
    <w:rsid w:val="00B516CB"/>
    <w:rsid w:val="00B51D50"/>
    <w:rsid w:val="00B52FFE"/>
    <w:rsid w:val="00B5342D"/>
    <w:rsid w:val="00B53DBF"/>
    <w:rsid w:val="00B55F04"/>
    <w:rsid w:val="00B55FC3"/>
    <w:rsid w:val="00B56447"/>
    <w:rsid w:val="00B56CB7"/>
    <w:rsid w:val="00B5701E"/>
    <w:rsid w:val="00B57C02"/>
    <w:rsid w:val="00B60443"/>
    <w:rsid w:val="00B61CC2"/>
    <w:rsid w:val="00B623B4"/>
    <w:rsid w:val="00B62990"/>
    <w:rsid w:val="00B631BF"/>
    <w:rsid w:val="00B635FD"/>
    <w:rsid w:val="00B63E49"/>
    <w:rsid w:val="00B64B11"/>
    <w:rsid w:val="00B65693"/>
    <w:rsid w:val="00B66408"/>
    <w:rsid w:val="00B66672"/>
    <w:rsid w:val="00B66E49"/>
    <w:rsid w:val="00B715CC"/>
    <w:rsid w:val="00B72588"/>
    <w:rsid w:val="00B72E03"/>
    <w:rsid w:val="00B73FF6"/>
    <w:rsid w:val="00B7454F"/>
    <w:rsid w:val="00B7522D"/>
    <w:rsid w:val="00B75C00"/>
    <w:rsid w:val="00B75D41"/>
    <w:rsid w:val="00B75E9C"/>
    <w:rsid w:val="00B7633B"/>
    <w:rsid w:val="00B77EC2"/>
    <w:rsid w:val="00B77FB4"/>
    <w:rsid w:val="00B80912"/>
    <w:rsid w:val="00B809C6"/>
    <w:rsid w:val="00B80DB5"/>
    <w:rsid w:val="00B8111A"/>
    <w:rsid w:val="00B81924"/>
    <w:rsid w:val="00B819BC"/>
    <w:rsid w:val="00B81B54"/>
    <w:rsid w:val="00B81C03"/>
    <w:rsid w:val="00B837A3"/>
    <w:rsid w:val="00B83ADF"/>
    <w:rsid w:val="00B83D66"/>
    <w:rsid w:val="00B840D4"/>
    <w:rsid w:val="00B8442C"/>
    <w:rsid w:val="00B84E64"/>
    <w:rsid w:val="00B85675"/>
    <w:rsid w:val="00B85A00"/>
    <w:rsid w:val="00B85F18"/>
    <w:rsid w:val="00B86DD0"/>
    <w:rsid w:val="00B8729A"/>
    <w:rsid w:val="00B91EF4"/>
    <w:rsid w:val="00B9240D"/>
    <w:rsid w:val="00B9245F"/>
    <w:rsid w:val="00B926B0"/>
    <w:rsid w:val="00B93061"/>
    <w:rsid w:val="00B932EE"/>
    <w:rsid w:val="00B9364E"/>
    <w:rsid w:val="00B93A78"/>
    <w:rsid w:val="00B93DB5"/>
    <w:rsid w:val="00B93FC7"/>
    <w:rsid w:val="00B96E36"/>
    <w:rsid w:val="00B96FAD"/>
    <w:rsid w:val="00B9708F"/>
    <w:rsid w:val="00B977BC"/>
    <w:rsid w:val="00B97851"/>
    <w:rsid w:val="00B97996"/>
    <w:rsid w:val="00B97A89"/>
    <w:rsid w:val="00B97A9A"/>
    <w:rsid w:val="00BA0EA4"/>
    <w:rsid w:val="00BA21C6"/>
    <w:rsid w:val="00BA25FD"/>
    <w:rsid w:val="00BA2A48"/>
    <w:rsid w:val="00BA2DCB"/>
    <w:rsid w:val="00BA2E1C"/>
    <w:rsid w:val="00BA30B0"/>
    <w:rsid w:val="00BA4995"/>
    <w:rsid w:val="00BA4AC5"/>
    <w:rsid w:val="00BA4D90"/>
    <w:rsid w:val="00BA5CFC"/>
    <w:rsid w:val="00BA5E59"/>
    <w:rsid w:val="00BA5EF7"/>
    <w:rsid w:val="00BA615C"/>
    <w:rsid w:val="00BA6F9A"/>
    <w:rsid w:val="00BA7302"/>
    <w:rsid w:val="00BB0267"/>
    <w:rsid w:val="00BB0EDC"/>
    <w:rsid w:val="00BB255D"/>
    <w:rsid w:val="00BB2906"/>
    <w:rsid w:val="00BB2EA7"/>
    <w:rsid w:val="00BB33FD"/>
    <w:rsid w:val="00BB360E"/>
    <w:rsid w:val="00BB37F9"/>
    <w:rsid w:val="00BB40B8"/>
    <w:rsid w:val="00BB42D5"/>
    <w:rsid w:val="00BB4606"/>
    <w:rsid w:val="00BB4638"/>
    <w:rsid w:val="00BB49BA"/>
    <w:rsid w:val="00BB5069"/>
    <w:rsid w:val="00BB5135"/>
    <w:rsid w:val="00BB525B"/>
    <w:rsid w:val="00BB6A68"/>
    <w:rsid w:val="00BB749C"/>
    <w:rsid w:val="00BC06FE"/>
    <w:rsid w:val="00BC19BF"/>
    <w:rsid w:val="00BC3DBE"/>
    <w:rsid w:val="00BC3E4D"/>
    <w:rsid w:val="00BC439C"/>
    <w:rsid w:val="00BC43D9"/>
    <w:rsid w:val="00BC5AE8"/>
    <w:rsid w:val="00BC5EAC"/>
    <w:rsid w:val="00BC627F"/>
    <w:rsid w:val="00BC6592"/>
    <w:rsid w:val="00BC6AD7"/>
    <w:rsid w:val="00BC6BAF"/>
    <w:rsid w:val="00BC715A"/>
    <w:rsid w:val="00BC7260"/>
    <w:rsid w:val="00BC77BA"/>
    <w:rsid w:val="00BC7E41"/>
    <w:rsid w:val="00BD081A"/>
    <w:rsid w:val="00BD0D5D"/>
    <w:rsid w:val="00BD1F33"/>
    <w:rsid w:val="00BD3209"/>
    <w:rsid w:val="00BD3552"/>
    <w:rsid w:val="00BD48CF"/>
    <w:rsid w:val="00BD4DA1"/>
    <w:rsid w:val="00BD5EBE"/>
    <w:rsid w:val="00BD60D4"/>
    <w:rsid w:val="00BD683E"/>
    <w:rsid w:val="00BD6C18"/>
    <w:rsid w:val="00BD6F36"/>
    <w:rsid w:val="00BD7149"/>
    <w:rsid w:val="00BD7179"/>
    <w:rsid w:val="00BD71E1"/>
    <w:rsid w:val="00BD757D"/>
    <w:rsid w:val="00BD7DB7"/>
    <w:rsid w:val="00BE0338"/>
    <w:rsid w:val="00BE1027"/>
    <w:rsid w:val="00BE1810"/>
    <w:rsid w:val="00BE1E1E"/>
    <w:rsid w:val="00BE2339"/>
    <w:rsid w:val="00BE252D"/>
    <w:rsid w:val="00BE29C4"/>
    <w:rsid w:val="00BE34D7"/>
    <w:rsid w:val="00BE40D1"/>
    <w:rsid w:val="00BE7071"/>
    <w:rsid w:val="00BE7C59"/>
    <w:rsid w:val="00BE7EA5"/>
    <w:rsid w:val="00BF14CF"/>
    <w:rsid w:val="00BF2FBE"/>
    <w:rsid w:val="00BF36D7"/>
    <w:rsid w:val="00BF372E"/>
    <w:rsid w:val="00BF4A6A"/>
    <w:rsid w:val="00BF4E93"/>
    <w:rsid w:val="00BF712A"/>
    <w:rsid w:val="00BF7EB2"/>
    <w:rsid w:val="00C0016C"/>
    <w:rsid w:val="00C001E5"/>
    <w:rsid w:val="00C019F1"/>
    <w:rsid w:val="00C01B8A"/>
    <w:rsid w:val="00C01DD0"/>
    <w:rsid w:val="00C01FD6"/>
    <w:rsid w:val="00C021D3"/>
    <w:rsid w:val="00C0331A"/>
    <w:rsid w:val="00C03B56"/>
    <w:rsid w:val="00C0404A"/>
    <w:rsid w:val="00C042C1"/>
    <w:rsid w:val="00C04521"/>
    <w:rsid w:val="00C04764"/>
    <w:rsid w:val="00C04A29"/>
    <w:rsid w:val="00C0535F"/>
    <w:rsid w:val="00C056D3"/>
    <w:rsid w:val="00C05756"/>
    <w:rsid w:val="00C05B71"/>
    <w:rsid w:val="00C0659F"/>
    <w:rsid w:val="00C06779"/>
    <w:rsid w:val="00C0680F"/>
    <w:rsid w:val="00C07077"/>
    <w:rsid w:val="00C118DF"/>
    <w:rsid w:val="00C11CE6"/>
    <w:rsid w:val="00C12B5D"/>
    <w:rsid w:val="00C13FE1"/>
    <w:rsid w:val="00C141F2"/>
    <w:rsid w:val="00C14267"/>
    <w:rsid w:val="00C14577"/>
    <w:rsid w:val="00C14683"/>
    <w:rsid w:val="00C15083"/>
    <w:rsid w:val="00C15111"/>
    <w:rsid w:val="00C15656"/>
    <w:rsid w:val="00C15D0D"/>
    <w:rsid w:val="00C16043"/>
    <w:rsid w:val="00C16A32"/>
    <w:rsid w:val="00C2054F"/>
    <w:rsid w:val="00C2116F"/>
    <w:rsid w:val="00C21385"/>
    <w:rsid w:val="00C22046"/>
    <w:rsid w:val="00C22081"/>
    <w:rsid w:val="00C2289E"/>
    <w:rsid w:val="00C22B15"/>
    <w:rsid w:val="00C22D4A"/>
    <w:rsid w:val="00C23345"/>
    <w:rsid w:val="00C240AD"/>
    <w:rsid w:val="00C24484"/>
    <w:rsid w:val="00C244A0"/>
    <w:rsid w:val="00C246A9"/>
    <w:rsid w:val="00C2524F"/>
    <w:rsid w:val="00C26632"/>
    <w:rsid w:val="00C26DFE"/>
    <w:rsid w:val="00C27DCE"/>
    <w:rsid w:val="00C27E0A"/>
    <w:rsid w:val="00C30544"/>
    <w:rsid w:val="00C31461"/>
    <w:rsid w:val="00C32B52"/>
    <w:rsid w:val="00C33D59"/>
    <w:rsid w:val="00C3472A"/>
    <w:rsid w:val="00C34ECC"/>
    <w:rsid w:val="00C35604"/>
    <w:rsid w:val="00C35617"/>
    <w:rsid w:val="00C359FC"/>
    <w:rsid w:val="00C35A45"/>
    <w:rsid w:val="00C361B4"/>
    <w:rsid w:val="00C36BEC"/>
    <w:rsid w:val="00C371EF"/>
    <w:rsid w:val="00C37664"/>
    <w:rsid w:val="00C4143E"/>
    <w:rsid w:val="00C414B1"/>
    <w:rsid w:val="00C41630"/>
    <w:rsid w:val="00C429F8"/>
    <w:rsid w:val="00C4316B"/>
    <w:rsid w:val="00C4387D"/>
    <w:rsid w:val="00C4402E"/>
    <w:rsid w:val="00C44802"/>
    <w:rsid w:val="00C44EAE"/>
    <w:rsid w:val="00C505A6"/>
    <w:rsid w:val="00C51757"/>
    <w:rsid w:val="00C521A9"/>
    <w:rsid w:val="00C533CF"/>
    <w:rsid w:val="00C533E3"/>
    <w:rsid w:val="00C535DE"/>
    <w:rsid w:val="00C53977"/>
    <w:rsid w:val="00C53B92"/>
    <w:rsid w:val="00C56A9A"/>
    <w:rsid w:val="00C57563"/>
    <w:rsid w:val="00C57EAF"/>
    <w:rsid w:val="00C60A48"/>
    <w:rsid w:val="00C60E5A"/>
    <w:rsid w:val="00C61591"/>
    <w:rsid w:val="00C61E91"/>
    <w:rsid w:val="00C626B0"/>
    <w:rsid w:val="00C63479"/>
    <w:rsid w:val="00C64183"/>
    <w:rsid w:val="00C6592C"/>
    <w:rsid w:val="00C65CD2"/>
    <w:rsid w:val="00C65CDF"/>
    <w:rsid w:val="00C661CA"/>
    <w:rsid w:val="00C66490"/>
    <w:rsid w:val="00C665A0"/>
    <w:rsid w:val="00C67A30"/>
    <w:rsid w:val="00C67F9F"/>
    <w:rsid w:val="00C70383"/>
    <w:rsid w:val="00C70798"/>
    <w:rsid w:val="00C70EF6"/>
    <w:rsid w:val="00C719AA"/>
    <w:rsid w:val="00C719C1"/>
    <w:rsid w:val="00C722A9"/>
    <w:rsid w:val="00C72434"/>
    <w:rsid w:val="00C72920"/>
    <w:rsid w:val="00C731A8"/>
    <w:rsid w:val="00C736B8"/>
    <w:rsid w:val="00C743F9"/>
    <w:rsid w:val="00C74677"/>
    <w:rsid w:val="00C74E7E"/>
    <w:rsid w:val="00C752A8"/>
    <w:rsid w:val="00C75C38"/>
    <w:rsid w:val="00C80306"/>
    <w:rsid w:val="00C8298A"/>
    <w:rsid w:val="00C8336A"/>
    <w:rsid w:val="00C8436A"/>
    <w:rsid w:val="00C856E6"/>
    <w:rsid w:val="00C8649E"/>
    <w:rsid w:val="00C86936"/>
    <w:rsid w:val="00C87302"/>
    <w:rsid w:val="00C8794B"/>
    <w:rsid w:val="00C9041E"/>
    <w:rsid w:val="00C90477"/>
    <w:rsid w:val="00C90919"/>
    <w:rsid w:val="00C930E3"/>
    <w:rsid w:val="00C952F4"/>
    <w:rsid w:val="00C971A5"/>
    <w:rsid w:val="00C9755C"/>
    <w:rsid w:val="00C9797B"/>
    <w:rsid w:val="00C97C52"/>
    <w:rsid w:val="00C97CCC"/>
    <w:rsid w:val="00C97D81"/>
    <w:rsid w:val="00CA0C10"/>
    <w:rsid w:val="00CA142B"/>
    <w:rsid w:val="00CA147A"/>
    <w:rsid w:val="00CA2202"/>
    <w:rsid w:val="00CA383E"/>
    <w:rsid w:val="00CA4E6F"/>
    <w:rsid w:val="00CA57E0"/>
    <w:rsid w:val="00CA5C31"/>
    <w:rsid w:val="00CA6A3A"/>
    <w:rsid w:val="00CA742E"/>
    <w:rsid w:val="00CA759B"/>
    <w:rsid w:val="00CA7602"/>
    <w:rsid w:val="00CA794E"/>
    <w:rsid w:val="00CA7A8F"/>
    <w:rsid w:val="00CB0114"/>
    <w:rsid w:val="00CB071D"/>
    <w:rsid w:val="00CB102A"/>
    <w:rsid w:val="00CB1EB7"/>
    <w:rsid w:val="00CB2095"/>
    <w:rsid w:val="00CB2F57"/>
    <w:rsid w:val="00CB42C4"/>
    <w:rsid w:val="00CB53A3"/>
    <w:rsid w:val="00CB5476"/>
    <w:rsid w:val="00CB5823"/>
    <w:rsid w:val="00CB5D19"/>
    <w:rsid w:val="00CB6824"/>
    <w:rsid w:val="00CB6A65"/>
    <w:rsid w:val="00CB6B1C"/>
    <w:rsid w:val="00CB78C1"/>
    <w:rsid w:val="00CB7904"/>
    <w:rsid w:val="00CB7AE6"/>
    <w:rsid w:val="00CB7D6C"/>
    <w:rsid w:val="00CB7F52"/>
    <w:rsid w:val="00CC0A95"/>
    <w:rsid w:val="00CC0AA7"/>
    <w:rsid w:val="00CC1E06"/>
    <w:rsid w:val="00CC2625"/>
    <w:rsid w:val="00CC34BE"/>
    <w:rsid w:val="00CC359B"/>
    <w:rsid w:val="00CC3D56"/>
    <w:rsid w:val="00CC3E45"/>
    <w:rsid w:val="00CC3FDC"/>
    <w:rsid w:val="00CC4A4B"/>
    <w:rsid w:val="00CC52C2"/>
    <w:rsid w:val="00CC5318"/>
    <w:rsid w:val="00CC5C80"/>
    <w:rsid w:val="00CC61A9"/>
    <w:rsid w:val="00CC69BF"/>
    <w:rsid w:val="00CC7A68"/>
    <w:rsid w:val="00CD0098"/>
    <w:rsid w:val="00CD13AA"/>
    <w:rsid w:val="00CD1F49"/>
    <w:rsid w:val="00CD207E"/>
    <w:rsid w:val="00CD22F8"/>
    <w:rsid w:val="00CD2331"/>
    <w:rsid w:val="00CD23AD"/>
    <w:rsid w:val="00CD2E37"/>
    <w:rsid w:val="00CD348A"/>
    <w:rsid w:val="00CD3734"/>
    <w:rsid w:val="00CD421A"/>
    <w:rsid w:val="00CD45C1"/>
    <w:rsid w:val="00CD50F6"/>
    <w:rsid w:val="00CD5614"/>
    <w:rsid w:val="00CD598C"/>
    <w:rsid w:val="00CD5CAD"/>
    <w:rsid w:val="00CD5ED1"/>
    <w:rsid w:val="00CD6C1A"/>
    <w:rsid w:val="00CD6CF5"/>
    <w:rsid w:val="00CD70BE"/>
    <w:rsid w:val="00CD7A56"/>
    <w:rsid w:val="00CE09D5"/>
    <w:rsid w:val="00CE0A95"/>
    <w:rsid w:val="00CE1242"/>
    <w:rsid w:val="00CE25AC"/>
    <w:rsid w:val="00CE29ED"/>
    <w:rsid w:val="00CE2F7C"/>
    <w:rsid w:val="00CE35E1"/>
    <w:rsid w:val="00CE37B9"/>
    <w:rsid w:val="00CE445A"/>
    <w:rsid w:val="00CE464A"/>
    <w:rsid w:val="00CE54ED"/>
    <w:rsid w:val="00CE6345"/>
    <w:rsid w:val="00CE6758"/>
    <w:rsid w:val="00CE6B65"/>
    <w:rsid w:val="00CE7991"/>
    <w:rsid w:val="00CE7D97"/>
    <w:rsid w:val="00CF0603"/>
    <w:rsid w:val="00CF1B05"/>
    <w:rsid w:val="00CF2508"/>
    <w:rsid w:val="00CF2FD5"/>
    <w:rsid w:val="00CF349F"/>
    <w:rsid w:val="00CF3B75"/>
    <w:rsid w:val="00CF3BAB"/>
    <w:rsid w:val="00CF3F2C"/>
    <w:rsid w:val="00CF534B"/>
    <w:rsid w:val="00CF579C"/>
    <w:rsid w:val="00CF5F8D"/>
    <w:rsid w:val="00CF6C05"/>
    <w:rsid w:val="00CF7442"/>
    <w:rsid w:val="00CF75B8"/>
    <w:rsid w:val="00CF79C6"/>
    <w:rsid w:val="00CF7FAA"/>
    <w:rsid w:val="00D00326"/>
    <w:rsid w:val="00D006A4"/>
    <w:rsid w:val="00D00795"/>
    <w:rsid w:val="00D01153"/>
    <w:rsid w:val="00D01169"/>
    <w:rsid w:val="00D018A6"/>
    <w:rsid w:val="00D020EB"/>
    <w:rsid w:val="00D02A6E"/>
    <w:rsid w:val="00D02E3A"/>
    <w:rsid w:val="00D044B5"/>
    <w:rsid w:val="00D04B13"/>
    <w:rsid w:val="00D05645"/>
    <w:rsid w:val="00D05B7D"/>
    <w:rsid w:val="00D060EF"/>
    <w:rsid w:val="00D06A0D"/>
    <w:rsid w:val="00D07497"/>
    <w:rsid w:val="00D07AAB"/>
    <w:rsid w:val="00D101C5"/>
    <w:rsid w:val="00D103DB"/>
    <w:rsid w:val="00D10497"/>
    <w:rsid w:val="00D1076A"/>
    <w:rsid w:val="00D11AA7"/>
    <w:rsid w:val="00D120A3"/>
    <w:rsid w:val="00D139E6"/>
    <w:rsid w:val="00D140C2"/>
    <w:rsid w:val="00D14296"/>
    <w:rsid w:val="00D147A0"/>
    <w:rsid w:val="00D15A44"/>
    <w:rsid w:val="00D15AB2"/>
    <w:rsid w:val="00D16195"/>
    <w:rsid w:val="00D1734C"/>
    <w:rsid w:val="00D174F3"/>
    <w:rsid w:val="00D17FCB"/>
    <w:rsid w:val="00D210E0"/>
    <w:rsid w:val="00D22B33"/>
    <w:rsid w:val="00D2346E"/>
    <w:rsid w:val="00D23AE5"/>
    <w:rsid w:val="00D242B7"/>
    <w:rsid w:val="00D24401"/>
    <w:rsid w:val="00D2472A"/>
    <w:rsid w:val="00D247CB"/>
    <w:rsid w:val="00D24A5F"/>
    <w:rsid w:val="00D2501C"/>
    <w:rsid w:val="00D25E1C"/>
    <w:rsid w:val="00D26C6B"/>
    <w:rsid w:val="00D2770C"/>
    <w:rsid w:val="00D27815"/>
    <w:rsid w:val="00D27FB1"/>
    <w:rsid w:val="00D305F7"/>
    <w:rsid w:val="00D313DC"/>
    <w:rsid w:val="00D3143F"/>
    <w:rsid w:val="00D31B31"/>
    <w:rsid w:val="00D32290"/>
    <w:rsid w:val="00D33325"/>
    <w:rsid w:val="00D336B1"/>
    <w:rsid w:val="00D33838"/>
    <w:rsid w:val="00D33DD0"/>
    <w:rsid w:val="00D33F97"/>
    <w:rsid w:val="00D348B5"/>
    <w:rsid w:val="00D348FB"/>
    <w:rsid w:val="00D35C9E"/>
    <w:rsid w:val="00D35DBA"/>
    <w:rsid w:val="00D35F68"/>
    <w:rsid w:val="00D36AA5"/>
    <w:rsid w:val="00D37144"/>
    <w:rsid w:val="00D3772F"/>
    <w:rsid w:val="00D403B8"/>
    <w:rsid w:val="00D40492"/>
    <w:rsid w:val="00D408D9"/>
    <w:rsid w:val="00D40C17"/>
    <w:rsid w:val="00D418F8"/>
    <w:rsid w:val="00D42440"/>
    <w:rsid w:val="00D426C4"/>
    <w:rsid w:val="00D43718"/>
    <w:rsid w:val="00D4418C"/>
    <w:rsid w:val="00D443D6"/>
    <w:rsid w:val="00D4471F"/>
    <w:rsid w:val="00D45147"/>
    <w:rsid w:val="00D45928"/>
    <w:rsid w:val="00D5102D"/>
    <w:rsid w:val="00D51208"/>
    <w:rsid w:val="00D515CB"/>
    <w:rsid w:val="00D5178C"/>
    <w:rsid w:val="00D519BB"/>
    <w:rsid w:val="00D51A3A"/>
    <w:rsid w:val="00D51A3C"/>
    <w:rsid w:val="00D51BF6"/>
    <w:rsid w:val="00D51BFF"/>
    <w:rsid w:val="00D51E5A"/>
    <w:rsid w:val="00D52474"/>
    <w:rsid w:val="00D52586"/>
    <w:rsid w:val="00D54320"/>
    <w:rsid w:val="00D55EFC"/>
    <w:rsid w:val="00D55FC1"/>
    <w:rsid w:val="00D564FF"/>
    <w:rsid w:val="00D6056F"/>
    <w:rsid w:val="00D60FB3"/>
    <w:rsid w:val="00D616D9"/>
    <w:rsid w:val="00D62162"/>
    <w:rsid w:val="00D62548"/>
    <w:rsid w:val="00D62CEF"/>
    <w:rsid w:val="00D6446D"/>
    <w:rsid w:val="00D65555"/>
    <w:rsid w:val="00D65C4D"/>
    <w:rsid w:val="00D65C8D"/>
    <w:rsid w:val="00D667CD"/>
    <w:rsid w:val="00D66936"/>
    <w:rsid w:val="00D66AEC"/>
    <w:rsid w:val="00D66CF1"/>
    <w:rsid w:val="00D67896"/>
    <w:rsid w:val="00D67B0C"/>
    <w:rsid w:val="00D67D18"/>
    <w:rsid w:val="00D67EFA"/>
    <w:rsid w:val="00D700C9"/>
    <w:rsid w:val="00D7018F"/>
    <w:rsid w:val="00D70402"/>
    <w:rsid w:val="00D709B3"/>
    <w:rsid w:val="00D743A4"/>
    <w:rsid w:val="00D743B4"/>
    <w:rsid w:val="00D74898"/>
    <w:rsid w:val="00D74D3F"/>
    <w:rsid w:val="00D74F38"/>
    <w:rsid w:val="00D7576B"/>
    <w:rsid w:val="00D7792D"/>
    <w:rsid w:val="00D77FD0"/>
    <w:rsid w:val="00D8084A"/>
    <w:rsid w:val="00D80E5E"/>
    <w:rsid w:val="00D81A2C"/>
    <w:rsid w:val="00D81F77"/>
    <w:rsid w:val="00D81FFD"/>
    <w:rsid w:val="00D82348"/>
    <w:rsid w:val="00D8268A"/>
    <w:rsid w:val="00D832AE"/>
    <w:rsid w:val="00D8450B"/>
    <w:rsid w:val="00D858E2"/>
    <w:rsid w:val="00D85CF4"/>
    <w:rsid w:val="00D8746C"/>
    <w:rsid w:val="00D90382"/>
    <w:rsid w:val="00D90448"/>
    <w:rsid w:val="00D90742"/>
    <w:rsid w:val="00D92089"/>
    <w:rsid w:val="00D92144"/>
    <w:rsid w:val="00D92478"/>
    <w:rsid w:val="00D927F6"/>
    <w:rsid w:val="00D941FF"/>
    <w:rsid w:val="00D943B8"/>
    <w:rsid w:val="00D94BDB"/>
    <w:rsid w:val="00D94EDA"/>
    <w:rsid w:val="00D9588D"/>
    <w:rsid w:val="00D95AD4"/>
    <w:rsid w:val="00D95AEB"/>
    <w:rsid w:val="00D962AA"/>
    <w:rsid w:val="00D96322"/>
    <w:rsid w:val="00D96423"/>
    <w:rsid w:val="00D969A0"/>
    <w:rsid w:val="00D96C59"/>
    <w:rsid w:val="00DA0149"/>
    <w:rsid w:val="00DA2E49"/>
    <w:rsid w:val="00DA39C8"/>
    <w:rsid w:val="00DA4160"/>
    <w:rsid w:val="00DA488B"/>
    <w:rsid w:val="00DA49CE"/>
    <w:rsid w:val="00DA50C3"/>
    <w:rsid w:val="00DA5812"/>
    <w:rsid w:val="00DA5A31"/>
    <w:rsid w:val="00DA5F96"/>
    <w:rsid w:val="00DA702A"/>
    <w:rsid w:val="00DA7186"/>
    <w:rsid w:val="00DA730A"/>
    <w:rsid w:val="00DB0909"/>
    <w:rsid w:val="00DB0C7F"/>
    <w:rsid w:val="00DB1B8C"/>
    <w:rsid w:val="00DB1BC2"/>
    <w:rsid w:val="00DB1D41"/>
    <w:rsid w:val="00DB1D62"/>
    <w:rsid w:val="00DB2CD2"/>
    <w:rsid w:val="00DB3ADD"/>
    <w:rsid w:val="00DB3E89"/>
    <w:rsid w:val="00DB560D"/>
    <w:rsid w:val="00DB5B72"/>
    <w:rsid w:val="00DB5E0D"/>
    <w:rsid w:val="00DB63D7"/>
    <w:rsid w:val="00DB641F"/>
    <w:rsid w:val="00DB6781"/>
    <w:rsid w:val="00DB6F7B"/>
    <w:rsid w:val="00DB70AE"/>
    <w:rsid w:val="00DC0308"/>
    <w:rsid w:val="00DC045C"/>
    <w:rsid w:val="00DC04B1"/>
    <w:rsid w:val="00DC0DC5"/>
    <w:rsid w:val="00DC189A"/>
    <w:rsid w:val="00DC1EBD"/>
    <w:rsid w:val="00DC254A"/>
    <w:rsid w:val="00DC2572"/>
    <w:rsid w:val="00DC262D"/>
    <w:rsid w:val="00DC3C9D"/>
    <w:rsid w:val="00DC58E7"/>
    <w:rsid w:val="00DC59FB"/>
    <w:rsid w:val="00DC5ACE"/>
    <w:rsid w:val="00DC5C07"/>
    <w:rsid w:val="00DC5F2C"/>
    <w:rsid w:val="00DC611C"/>
    <w:rsid w:val="00DC6FE6"/>
    <w:rsid w:val="00DC7C75"/>
    <w:rsid w:val="00DD206F"/>
    <w:rsid w:val="00DD2588"/>
    <w:rsid w:val="00DD2865"/>
    <w:rsid w:val="00DD3E1D"/>
    <w:rsid w:val="00DD426C"/>
    <w:rsid w:val="00DD476C"/>
    <w:rsid w:val="00DD5049"/>
    <w:rsid w:val="00DD5522"/>
    <w:rsid w:val="00DE0CE3"/>
    <w:rsid w:val="00DE10C1"/>
    <w:rsid w:val="00DE20C6"/>
    <w:rsid w:val="00DE2ACE"/>
    <w:rsid w:val="00DE347D"/>
    <w:rsid w:val="00DE3734"/>
    <w:rsid w:val="00DE39CA"/>
    <w:rsid w:val="00DE425C"/>
    <w:rsid w:val="00DE42F3"/>
    <w:rsid w:val="00DE4605"/>
    <w:rsid w:val="00DE464C"/>
    <w:rsid w:val="00DE5020"/>
    <w:rsid w:val="00DE54EC"/>
    <w:rsid w:val="00DE602A"/>
    <w:rsid w:val="00DE6B08"/>
    <w:rsid w:val="00DE7E00"/>
    <w:rsid w:val="00DE7EAE"/>
    <w:rsid w:val="00DF02C2"/>
    <w:rsid w:val="00DF02E3"/>
    <w:rsid w:val="00DF046F"/>
    <w:rsid w:val="00DF27C8"/>
    <w:rsid w:val="00DF35D9"/>
    <w:rsid w:val="00DF3673"/>
    <w:rsid w:val="00DF412A"/>
    <w:rsid w:val="00DF441C"/>
    <w:rsid w:val="00DF4488"/>
    <w:rsid w:val="00DF5D24"/>
    <w:rsid w:val="00DF632C"/>
    <w:rsid w:val="00DF6761"/>
    <w:rsid w:val="00DF6E71"/>
    <w:rsid w:val="00DF710D"/>
    <w:rsid w:val="00DF7DB4"/>
    <w:rsid w:val="00DF7FFD"/>
    <w:rsid w:val="00E00057"/>
    <w:rsid w:val="00E0019F"/>
    <w:rsid w:val="00E001B5"/>
    <w:rsid w:val="00E001EB"/>
    <w:rsid w:val="00E00738"/>
    <w:rsid w:val="00E00E8C"/>
    <w:rsid w:val="00E017F0"/>
    <w:rsid w:val="00E018EB"/>
    <w:rsid w:val="00E02C60"/>
    <w:rsid w:val="00E03C97"/>
    <w:rsid w:val="00E03DF4"/>
    <w:rsid w:val="00E04A9E"/>
    <w:rsid w:val="00E04B1C"/>
    <w:rsid w:val="00E04DAF"/>
    <w:rsid w:val="00E05027"/>
    <w:rsid w:val="00E05EE0"/>
    <w:rsid w:val="00E06835"/>
    <w:rsid w:val="00E06F18"/>
    <w:rsid w:val="00E07356"/>
    <w:rsid w:val="00E101A4"/>
    <w:rsid w:val="00E113F2"/>
    <w:rsid w:val="00E119BE"/>
    <w:rsid w:val="00E11FD1"/>
    <w:rsid w:val="00E1204E"/>
    <w:rsid w:val="00E14453"/>
    <w:rsid w:val="00E14BBE"/>
    <w:rsid w:val="00E15A3F"/>
    <w:rsid w:val="00E1781D"/>
    <w:rsid w:val="00E20264"/>
    <w:rsid w:val="00E2172D"/>
    <w:rsid w:val="00E21903"/>
    <w:rsid w:val="00E21CD3"/>
    <w:rsid w:val="00E22458"/>
    <w:rsid w:val="00E22ACE"/>
    <w:rsid w:val="00E23186"/>
    <w:rsid w:val="00E2372F"/>
    <w:rsid w:val="00E24104"/>
    <w:rsid w:val="00E2436A"/>
    <w:rsid w:val="00E24D43"/>
    <w:rsid w:val="00E24EE1"/>
    <w:rsid w:val="00E2534C"/>
    <w:rsid w:val="00E264DA"/>
    <w:rsid w:val="00E266B3"/>
    <w:rsid w:val="00E26F96"/>
    <w:rsid w:val="00E27F7C"/>
    <w:rsid w:val="00E301B9"/>
    <w:rsid w:val="00E301D1"/>
    <w:rsid w:val="00E30278"/>
    <w:rsid w:val="00E30FE0"/>
    <w:rsid w:val="00E31FD9"/>
    <w:rsid w:val="00E325EF"/>
    <w:rsid w:val="00E32D67"/>
    <w:rsid w:val="00E333FD"/>
    <w:rsid w:val="00E334FB"/>
    <w:rsid w:val="00E33ADD"/>
    <w:rsid w:val="00E34240"/>
    <w:rsid w:val="00E34BCA"/>
    <w:rsid w:val="00E35285"/>
    <w:rsid w:val="00E36036"/>
    <w:rsid w:val="00E36690"/>
    <w:rsid w:val="00E3782E"/>
    <w:rsid w:val="00E378F1"/>
    <w:rsid w:val="00E3796D"/>
    <w:rsid w:val="00E41920"/>
    <w:rsid w:val="00E41E60"/>
    <w:rsid w:val="00E42B0A"/>
    <w:rsid w:val="00E42C89"/>
    <w:rsid w:val="00E42D30"/>
    <w:rsid w:val="00E43D18"/>
    <w:rsid w:val="00E458A2"/>
    <w:rsid w:val="00E458CF"/>
    <w:rsid w:val="00E45B92"/>
    <w:rsid w:val="00E45BDE"/>
    <w:rsid w:val="00E45F39"/>
    <w:rsid w:val="00E46673"/>
    <w:rsid w:val="00E46FBE"/>
    <w:rsid w:val="00E477D4"/>
    <w:rsid w:val="00E504AD"/>
    <w:rsid w:val="00E50B4D"/>
    <w:rsid w:val="00E51901"/>
    <w:rsid w:val="00E52382"/>
    <w:rsid w:val="00E5261A"/>
    <w:rsid w:val="00E529A8"/>
    <w:rsid w:val="00E52C82"/>
    <w:rsid w:val="00E52CA4"/>
    <w:rsid w:val="00E53ADF"/>
    <w:rsid w:val="00E54204"/>
    <w:rsid w:val="00E54B16"/>
    <w:rsid w:val="00E55A7D"/>
    <w:rsid w:val="00E55EDC"/>
    <w:rsid w:val="00E564FF"/>
    <w:rsid w:val="00E571A4"/>
    <w:rsid w:val="00E571B3"/>
    <w:rsid w:val="00E608BA"/>
    <w:rsid w:val="00E61254"/>
    <w:rsid w:val="00E61D9C"/>
    <w:rsid w:val="00E62111"/>
    <w:rsid w:val="00E62256"/>
    <w:rsid w:val="00E62963"/>
    <w:rsid w:val="00E62D66"/>
    <w:rsid w:val="00E62F76"/>
    <w:rsid w:val="00E6335E"/>
    <w:rsid w:val="00E6359C"/>
    <w:rsid w:val="00E64169"/>
    <w:rsid w:val="00E6491F"/>
    <w:rsid w:val="00E65511"/>
    <w:rsid w:val="00E656FF"/>
    <w:rsid w:val="00E6662D"/>
    <w:rsid w:val="00E66E1F"/>
    <w:rsid w:val="00E66F81"/>
    <w:rsid w:val="00E672BB"/>
    <w:rsid w:val="00E67649"/>
    <w:rsid w:val="00E67B52"/>
    <w:rsid w:val="00E67EB4"/>
    <w:rsid w:val="00E70778"/>
    <w:rsid w:val="00E7159B"/>
    <w:rsid w:val="00E717F6"/>
    <w:rsid w:val="00E71B68"/>
    <w:rsid w:val="00E726E7"/>
    <w:rsid w:val="00E753ED"/>
    <w:rsid w:val="00E75F3D"/>
    <w:rsid w:val="00E760E7"/>
    <w:rsid w:val="00E76E8E"/>
    <w:rsid w:val="00E80DE8"/>
    <w:rsid w:val="00E811DF"/>
    <w:rsid w:val="00E81468"/>
    <w:rsid w:val="00E825B3"/>
    <w:rsid w:val="00E83138"/>
    <w:rsid w:val="00E83839"/>
    <w:rsid w:val="00E844B9"/>
    <w:rsid w:val="00E85068"/>
    <w:rsid w:val="00E8570B"/>
    <w:rsid w:val="00E8692D"/>
    <w:rsid w:val="00E86FB0"/>
    <w:rsid w:val="00E874DD"/>
    <w:rsid w:val="00E900F0"/>
    <w:rsid w:val="00E90203"/>
    <w:rsid w:val="00E90A8E"/>
    <w:rsid w:val="00E90C4F"/>
    <w:rsid w:val="00E91B36"/>
    <w:rsid w:val="00E928B2"/>
    <w:rsid w:val="00E933EF"/>
    <w:rsid w:val="00E93E8F"/>
    <w:rsid w:val="00E954AE"/>
    <w:rsid w:val="00E973F9"/>
    <w:rsid w:val="00E978D7"/>
    <w:rsid w:val="00EA009E"/>
    <w:rsid w:val="00EA027E"/>
    <w:rsid w:val="00EA1437"/>
    <w:rsid w:val="00EA27C4"/>
    <w:rsid w:val="00EA2D22"/>
    <w:rsid w:val="00EA4BE0"/>
    <w:rsid w:val="00EA5053"/>
    <w:rsid w:val="00EA557B"/>
    <w:rsid w:val="00EB0BBB"/>
    <w:rsid w:val="00EB1060"/>
    <w:rsid w:val="00EB10BE"/>
    <w:rsid w:val="00EB1B04"/>
    <w:rsid w:val="00EB24AD"/>
    <w:rsid w:val="00EB25DE"/>
    <w:rsid w:val="00EB2C7E"/>
    <w:rsid w:val="00EB2CFB"/>
    <w:rsid w:val="00EB4146"/>
    <w:rsid w:val="00EB4245"/>
    <w:rsid w:val="00EB4B95"/>
    <w:rsid w:val="00EB4C77"/>
    <w:rsid w:val="00EB4D51"/>
    <w:rsid w:val="00EB4E43"/>
    <w:rsid w:val="00EB4EDF"/>
    <w:rsid w:val="00EB5191"/>
    <w:rsid w:val="00EB5333"/>
    <w:rsid w:val="00EB5648"/>
    <w:rsid w:val="00EB5CF5"/>
    <w:rsid w:val="00EB6544"/>
    <w:rsid w:val="00EB6553"/>
    <w:rsid w:val="00EB6B33"/>
    <w:rsid w:val="00EB7182"/>
    <w:rsid w:val="00EB722C"/>
    <w:rsid w:val="00EC0BA9"/>
    <w:rsid w:val="00EC122B"/>
    <w:rsid w:val="00EC159D"/>
    <w:rsid w:val="00EC3B63"/>
    <w:rsid w:val="00EC3CBE"/>
    <w:rsid w:val="00EC428C"/>
    <w:rsid w:val="00EC53BE"/>
    <w:rsid w:val="00EC5636"/>
    <w:rsid w:val="00EC70CE"/>
    <w:rsid w:val="00EC732C"/>
    <w:rsid w:val="00EC766A"/>
    <w:rsid w:val="00ED02A7"/>
    <w:rsid w:val="00ED07EF"/>
    <w:rsid w:val="00ED3242"/>
    <w:rsid w:val="00ED39DD"/>
    <w:rsid w:val="00ED437D"/>
    <w:rsid w:val="00ED446D"/>
    <w:rsid w:val="00ED5056"/>
    <w:rsid w:val="00ED5441"/>
    <w:rsid w:val="00ED5AB3"/>
    <w:rsid w:val="00ED6762"/>
    <w:rsid w:val="00ED78D8"/>
    <w:rsid w:val="00EE0207"/>
    <w:rsid w:val="00EE090F"/>
    <w:rsid w:val="00EE0A61"/>
    <w:rsid w:val="00EE0DC5"/>
    <w:rsid w:val="00EE25F5"/>
    <w:rsid w:val="00EE25F9"/>
    <w:rsid w:val="00EE2B06"/>
    <w:rsid w:val="00EE2B0C"/>
    <w:rsid w:val="00EE3562"/>
    <w:rsid w:val="00EE3919"/>
    <w:rsid w:val="00EE4FFB"/>
    <w:rsid w:val="00EE6B5D"/>
    <w:rsid w:val="00EE7445"/>
    <w:rsid w:val="00EE7DA7"/>
    <w:rsid w:val="00EE7F9F"/>
    <w:rsid w:val="00EF0978"/>
    <w:rsid w:val="00EF157B"/>
    <w:rsid w:val="00EF17F3"/>
    <w:rsid w:val="00EF187A"/>
    <w:rsid w:val="00EF1C4E"/>
    <w:rsid w:val="00EF2D31"/>
    <w:rsid w:val="00EF3429"/>
    <w:rsid w:val="00EF68DE"/>
    <w:rsid w:val="00EF78C4"/>
    <w:rsid w:val="00EF78D7"/>
    <w:rsid w:val="00EF7CBC"/>
    <w:rsid w:val="00F001F1"/>
    <w:rsid w:val="00F00A5C"/>
    <w:rsid w:val="00F00C26"/>
    <w:rsid w:val="00F01614"/>
    <w:rsid w:val="00F01B47"/>
    <w:rsid w:val="00F02916"/>
    <w:rsid w:val="00F02DB4"/>
    <w:rsid w:val="00F02E0F"/>
    <w:rsid w:val="00F03B8A"/>
    <w:rsid w:val="00F03ECC"/>
    <w:rsid w:val="00F047E7"/>
    <w:rsid w:val="00F04E26"/>
    <w:rsid w:val="00F06AE9"/>
    <w:rsid w:val="00F078B7"/>
    <w:rsid w:val="00F079CB"/>
    <w:rsid w:val="00F07FA5"/>
    <w:rsid w:val="00F1021C"/>
    <w:rsid w:val="00F11209"/>
    <w:rsid w:val="00F11C70"/>
    <w:rsid w:val="00F122E9"/>
    <w:rsid w:val="00F1236A"/>
    <w:rsid w:val="00F12C23"/>
    <w:rsid w:val="00F12F8F"/>
    <w:rsid w:val="00F13106"/>
    <w:rsid w:val="00F135CA"/>
    <w:rsid w:val="00F13E2B"/>
    <w:rsid w:val="00F1487C"/>
    <w:rsid w:val="00F155D1"/>
    <w:rsid w:val="00F16C70"/>
    <w:rsid w:val="00F16FE4"/>
    <w:rsid w:val="00F1757C"/>
    <w:rsid w:val="00F17588"/>
    <w:rsid w:val="00F20077"/>
    <w:rsid w:val="00F21068"/>
    <w:rsid w:val="00F215E3"/>
    <w:rsid w:val="00F21852"/>
    <w:rsid w:val="00F21A4B"/>
    <w:rsid w:val="00F21B96"/>
    <w:rsid w:val="00F224DC"/>
    <w:rsid w:val="00F22B67"/>
    <w:rsid w:val="00F22CAE"/>
    <w:rsid w:val="00F23611"/>
    <w:rsid w:val="00F246BC"/>
    <w:rsid w:val="00F24AED"/>
    <w:rsid w:val="00F250A8"/>
    <w:rsid w:val="00F25798"/>
    <w:rsid w:val="00F25981"/>
    <w:rsid w:val="00F27100"/>
    <w:rsid w:val="00F27BAA"/>
    <w:rsid w:val="00F27DB2"/>
    <w:rsid w:val="00F3024F"/>
    <w:rsid w:val="00F3083B"/>
    <w:rsid w:val="00F310D5"/>
    <w:rsid w:val="00F316D7"/>
    <w:rsid w:val="00F31DC7"/>
    <w:rsid w:val="00F325F6"/>
    <w:rsid w:val="00F328D8"/>
    <w:rsid w:val="00F3301E"/>
    <w:rsid w:val="00F3439A"/>
    <w:rsid w:val="00F34408"/>
    <w:rsid w:val="00F34582"/>
    <w:rsid w:val="00F35A57"/>
    <w:rsid w:val="00F35FCF"/>
    <w:rsid w:val="00F3692A"/>
    <w:rsid w:val="00F36BB0"/>
    <w:rsid w:val="00F37898"/>
    <w:rsid w:val="00F4083E"/>
    <w:rsid w:val="00F41804"/>
    <w:rsid w:val="00F4225A"/>
    <w:rsid w:val="00F4266F"/>
    <w:rsid w:val="00F428D0"/>
    <w:rsid w:val="00F4366A"/>
    <w:rsid w:val="00F43C43"/>
    <w:rsid w:val="00F4428B"/>
    <w:rsid w:val="00F453CC"/>
    <w:rsid w:val="00F46CB0"/>
    <w:rsid w:val="00F4730D"/>
    <w:rsid w:val="00F4778E"/>
    <w:rsid w:val="00F50A45"/>
    <w:rsid w:val="00F50E6D"/>
    <w:rsid w:val="00F51852"/>
    <w:rsid w:val="00F519C2"/>
    <w:rsid w:val="00F52496"/>
    <w:rsid w:val="00F52912"/>
    <w:rsid w:val="00F53123"/>
    <w:rsid w:val="00F53877"/>
    <w:rsid w:val="00F538D4"/>
    <w:rsid w:val="00F539CD"/>
    <w:rsid w:val="00F54156"/>
    <w:rsid w:val="00F54894"/>
    <w:rsid w:val="00F55531"/>
    <w:rsid w:val="00F55B54"/>
    <w:rsid w:val="00F56245"/>
    <w:rsid w:val="00F565B2"/>
    <w:rsid w:val="00F5679C"/>
    <w:rsid w:val="00F56905"/>
    <w:rsid w:val="00F57702"/>
    <w:rsid w:val="00F57BA4"/>
    <w:rsid w:val="00F57EC9"/>
    <w:rsid w:val="00F60381"/>
    <w:rsid w:val="00F60548"/>
    <w:rsid w:val="00F60E53"/>
    <w:rsid w:val="00F61322"/>
    <w:rsid w:val="00F6143B"/>
    <w:rsid w:val="00F617B1"/>
    <w:rsid w:val="00F623D5"/>
    <w:rsid w:val="00F6403B"/>
    <w:rsid w:val="00F64E04"/>
    <w:rsid w:val="00F65049"/>
    <w:rsid w:val="00F65817"/>
    <w:rsid w:val="00F66419"/>
    <w:rsid w:val="00F6712E"/>
    <w:rsid w:val="00F67257"/>
    <w:rsid w:val="00F72258"/>
    <w:rsid w:val="00F729B9"/>
    <w:rsid w:val="00F72AE9"/>
    <w:rsid w:val="00F72E2E"/>
    <w:rsid w:val="00F74759"/>
    <w:rsid w:val="00F74874"/>
    <w:rsid w:val="00F75E40"/>
    <w:rsid w:val="00F76B05"/>
    <w:rsid w:val="00F76C95"/>
    <w:rsid w:val="00F77EFA"/>
    <w:rsid w:val="00F81395"/>
    <w:rsid w:val="00F814AC"/>
    <w:rsid w:val="00F81C32"/>
    <w:rsid w:val="00F81CD7"/>
    <w:rsid w:val="00F833CE"/>
    <w:rsid w:val="00F853C9"/>
    <w:rsid w:val="00F85618"/>
    <w:rsid w:val="00F863F7"/>
    <w:rsid w:val="00F86503"/>
    <w:rsid w:val="00F86977"/>
    <w:rsid w:val="00F86A60"/>
    <w:rsid w:val="00F873C9"/>
    <w:rsid w:val="00F87674"/>
    <w:rsid w:val="00F87898"/>
    <w:rsid w:val="00F87F1B"/>
    <w:rsid w:val="00F90367"/>
    <w:rsid w:val="00F90505"/>
    <w:rsid w:val="00F90A97"/>
    <w:rsid w:val="00F92E66"/>
    <w:rsid w:val="00F93009"/>
    <w:rsid w:val="00F935CD"/>
    <w:rsid w:val="00F93732"/>
    <w:rsid w:val="00F93BFF"/>
    <w:rsid w:val="00F94985"/>
    <w:rsid w:val="00F95458"/>
    <w:rsid w:val="00F95ED5"/>
    <w:rsid w:val="00F97895"/>
    <w:rsid w:val="00F97A0C"/>
    <w:rsid w:val="00FA00F8"/>
    <w:rsid w:val="00FA05E8"/>
    <w:rsid w:val="00FA1003"/>
    <w:rsid w:val="00FA11F0"/>
    <w:rsid w:val="00FA12BE"/>
    <w:rsid w:val="00FA1579"/>
    <w:rsid w:val="00FA1E73"/>
    <w:rsid w:val="00FA2D33"/>
    <w:rsid w:val="00FA34F1"/>
    <w:rsid w:val="00FA3A52"/>
    <w:rsid w:val="00FA41EB"/>
    <w:rsid w:val="00FA5298"/>
    <w:rsid w:val="00FA5AF2"/>
    <w:rsid w:val="00FA5D5B"/>
    <w:rsid w:val="00FA6670"/>
    <w:rsid w:val="00FA6B2E"/>
    <w:rsid w:val="00FA7959"/>
    <w:rsid w:val="00FA7CE5"/>
    <w:rsid w:val="00FB01A0"/>
    <w:rsid w:val="00FB05D3"/>
    <w:rsid w:val="00FB17BF"/>
    <w:rsid w:val="00FB1904"/>
    <w:rsid w:val="00FB1A8C"/>
    <w:rsid w:val="00FB349C"/>
    <w:rsid w:val="00FB4543"/>
    <w:rsid w:val="00FB4FBA"/>
    <w:rsid w:val="00FB551E"/>
    <w:rsid w:val="00FB563E"/>
    <w:rsid w:val="00FB5784"/>
    <w:rsid w:val="00FB64DD"/>
    <w:rsid w:val="00FB67D1"/>
    <w:rsid w:val="00FB6DB4"/>
    <w:rsid w:val="00FB7321"/>
    <w:rsid w:val="00FB7F0D"/>
    <w:rsid w:val="00FC0006"/>
    <w:rsid w:val="00FC03F1"/>
    <w:rsid w:val="00FC0E95"/>
    <w:rsid w:val="00FC134F"/>
    <w:rsid w:val="00FC1D5F"/>
    <w:rsid w:val="00FC2F6D"/>
    <w:rsid w:val="00FC3605"/>
    <w:rsid w:val="00FC4E7B"/>
    <w:rsid w:val="00FC4F1A"/>
    <w:rsid w:val="00FC554E"/>
    <w:rsid w:val="00FC6612"/>
    <w:rsid w:val="00FC6B92"/>
    <w:rsid w:val="00FC6C54"/>
    <w:rsid w:val="00FC7C10"/>
    <w:rsid w:val="00FD0AC0"/>
    <w:rsid w:val="00FD0DCE"/>
    <w:rsid w:val="00FD0E87"/>
    <w:rsid w:val="00FD1BD4"/>
    <w:rsid w:val="00FD3A02"/>
    <w:rsid w:val="00FD3B24"/>
    <w:rsid w:val="00FD4FE8"/>
    <w:rsid w:val="00FD5733"/>
    <w:rsid w:val="00FD6233"/>
    <w:rsid w:val="00FD6765"/>
    <w:rsid w:val="00FD68B0"/>
    <w:rsid w:val="00FD7053"/>
    <w:rsid w:val="00FD709F"/>
    <w:rsid w:val="00FD71A5"/>
    <w:rsid w:val="00FD7433"/>
    <w:rsid w:val="00FD7B23"/>
    <w:rsid w:val="00FD7B72"/>
    <w:rsid w:val="00FD7E4E"/>
    <w:rsid w:val="00FE242D"/>
    <w:rsid w:val="00FE3B91"/>
    <w:rsid w:val="00FE3B9F"/>
    <w:rsid w:val="00FE40D4"/>
    <w:rsid w:val="00FE4B07"/>
    <w:rsid w:val="00FE4B7C"/>
    <w:rsid w:val="00FE4E9B"/>
    <w:rsid w:val="00FE51B4"/>
    <w:rsid w:val="00FE5662"/>
    <w:rsid w:val="00FE58CD"/>
    <w:rsid w:val="00FE59FD"/>
    <w:rsid w:val="00FE68C3"/>
    <w:rsid w:val="00FE6917"/>
    <w:rsid w:val="00FE6A73"/>
    <w:rsid w:val="00FE74A7"/>
    <w:rsid w:val="00FE75E3"/>
    <w:rsid w:val="00FE7D28"/>
    <w:rsid w:val="00FF0189"/>
    <w:rsid w:val="00FF01A2"/>
    <w:rsid w:val="00FF1951"/>
    <w:rsid w:val="00FF1B51"/>
    <w:rsid w:val="00FF205A"/>
    <w:rsid w:val="00FF23E6"/>
    <w:rsid w:val="00FF2FD5"/>
    <w:rsid w:val="00FF3433"/>
    <w:rsid w:val="00FF403B"/>
    <w:rsid w:val="00FF4BE4"/>
    <w:rsid w:val="00FF547C"/>
    <w:rsid w:val="00FF5A56"/>
    <w:rsid w:val="00FF63E9"/>
    <w:rsid w:val="00FF6B26"/>
    <w:rsid w:val="00FF7032"/>
    <w:rsid w:val="00FF7037"/>
    <w:rsid w:val="00FF7356"/>
    <w:rsid w:val="01F73C44"/>
    <w:rsid w:val="047168CE"/>
    <w:rsid w:val="0596483F"/>
    <w:rsid w:val="0C0B585A"/>
    <w:rsid w:val="0C5965C6"/>
    <w:rsid w:val="0EFF62E5"/>
    <w:rsid w:val="107B6F4E"/>
    <w:rsid w:val="11140D0D"/>
    <w:rsid w:val="112A6783"/>
    <w:rsid w:val="127A382F"/>
    <w:rsid w:val="15067221"/>
    <w:rsid w:val="16B67C28"/>
    <w:rsid w:val="183F7A03"/>
    <w:rsid w:val="19020A55"/>
    <w:rsid w:val="1A0428DE"/>
    <w:rsid w:val="1BE051E8"/>
    <w:rsid w:val="1C534DE0"/>
    <w:rsid w:val="1FD75D28"/>
    <w:rsid w:val="212F2F26"/>
    <w:rsid w:val="22B12860"/>
    <w:rsid w:val="22BB0AB6"/>
    <w:rsid w:val="232B4886"/>
    <w:rsid w:val="23481048"/>
    <w:rsid w:val="248A2B54"/>
    <w:rsid w:val="265728E7"/>
    <w:rsid w:val="2A80133E"/>
    <w:rsid w:val="2B6B0343"/>
    <w:rsid w:val="2F4D4EAF"/>
    <w:rsid w:val="2F743CC1"/>
    <w:rsid w:val="32D00AE0"/>
    <w:rsid w:val="33941B0E"/>
    <w:rsid w:val="339715FE"/>
    <w:rsid w:val="371239CE"/>
    <w:rsid w:val="387B4634"/>
    <w:rsid w:val="38EB59D4"/>
    <w:rsid w:val="39E3734B"/>
    <w:rsid w:val="39F41761"/>
    <w:rsid w:val="3BC739EA"/>
    <w:rsid w:val="3F7C0A80"/>
    <w:rsid w:val="408F70ED"/>
    <w:rsid w:val="40B47E4D"/>
    <w:rsid w:val="42F66014"/>
    <w:rsid w:val="4373463E"/>
    <w:rsid w:val="43A95B51"/>
    <w:rsid w:val="45FD1795"/>
    <w:rsid w:val="4625693E"/>
    <w:rsid w:val="46D405B4"/>
    <w:rsid w:val="47F866B8"/>
    <w:rsid w:val="48B60321"/>
    <w:rsid w:val="4B8F5B2C"/>
    <w:rsid w:val="4D723FCF"/>
    <w:rsid w:val="4F471CD3"/>
    <w:rsid w:val="51954F77"/>
    <w:rsid w:val="51BC72C6"/>
    <w:rsid w:val="52D02682"/>
    <w:rsid w:val="54CA17DE"/>
    <w:rsid w:val="550602FE"/>
    <w:rsid w:val="5586381E"/>
    <w:rsid w:val="55E4027B"/>
    <w:rsid w:val="570C0B9E"/>
    <w:rsid w:val="5ACB7C5C"/>
    <w:rsid w:val="5CA02E9E"/>
    <w:rsid w:val="6437596F"/>
    <w:rsid w:val="64D73C7A"/>
    <w:rsid w:val="65F52031"/>
    <w:rsid w:val="67764305"/>
    <w:rsid w:val="68AD6BF3"/>
    <w:rsid w:val="69CB37D4"/>
    <w:rsid w:val="69EB1780"/>
    <w:rsid w:val="6A3D2A15"/>
    <w:rsid w:val="6A87072C"/>
    <w:rsid w:val="6C0E70BE"/>
    <w:rsid w:val="6DBE2F61"/>
    <w:rsid w:val="6EA75E92"/>
    <w:rsid w:val="6FB72584"/>
    <w:rsid w:val="70B52AE8"/>
    <w:rsid w:val="733F2B3D"/>
    <w:rsid w:val="74030BDF"/>
    <w:rsid w:val="74373814"/>
    <w:rsid w:val="77456248"/>
    <w:rsid w:val="784C6773"/>
    <w:rsid w:val="7B024D11"/>
    <w:rsid w:val="7B9C6D7F"/>
    <w:rsid w:val="7BF5055A"/>
    <w:rsid w:val="7FC248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99"/>
    <w:pPr>
      <w:jc w:val="left"/>
    </w:pPr>
  </w:style>
  <w:style w:type="paragraph" w:styleId="5">
    <w:name w:val="Body Text Indent"/>
    <w:basedOn w:val="1"/>
    <w:link w:val="16"/>
    <w:qFormat/>
    <w:uiPriority w:val="0"/>
    <w:pPr>
      <w:ind w:firstLine="560"/>
    </w:pPr>
    <w:rPr>
      <w:rFonts w:ascii="仿宋_GB2312" w:hAnsi="Times New Roman" w:eastAsia="仿宋_GB2312"/>
      <w:kern w:val="0"/>
      <w:sz w:val="28"/>
      <w:szCs w:val="20"/>
    </w:rPr>
  </w:style>
  <w:style w:type="paragraph" w:styleId="6">
    <w:name w:val="Plain Text"/>
    <w:basedOn w:val="1"/>
    <w:link w:val="21"/>
    <w:qFormat/>
    <w:uiPriority w:val="99"/>
    <w:rPr>
      <w:rFonts w:ascii="宋体" w:hAnsi="Courier New"/>
      <w:szCs w:val="20"/>
    </w:rPr>
  </w:style>
  <w:style w:type="paragraph" w:styleId="7">
    <w:name w:val="Balloon Text"/>
    <w:basedOn w:val="1"/>
    <w:link w:val="19"/>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kern w:val="0"/>
      <w:sz w:val="18"/>
      <w:szCs w:val="18"/>
    </w:rPr>
  </w:style>
  <w:style w:type="paragraph" w:styleId="9">
    <w:name w:val="header"/>
    <w:basedOn w:val="1"/>
    <w:link w:val="17"/>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annotation subject"/>
    <w:basedOn w:val="4"/>
    <w:next w:val="4"/>
    <w:link w:val="26"/>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character" w:styleId="15">
    <w:name w:val="annotation reference"/>
    <w:basedOn w:val="13"/>
    <w:semiHidden/>
    <w:unhideWhenUsed/>
    <w:qFormat/>
    <w:uiPriority w:val="99"/>
    <w:rPr>
      <w:sz w:val="21"/>
      <w:szCs w:val="21"/>
    </w:rPr>
  </w:style>
  <w:style w:type="character" w:customStyle="1" w:styleId="16">
    <w:name w:val="正文文本缩进 字符"/>
    <w:link w:val="5"/>
    <w:qFormat/>
    <w:uiPriority w:val="0"/>
    <w:rPr>
      <w:rFonts w:ascii="仿宋_GB2312" w:hAnsi="Times New Roman" w:eastAsia="仿宋_GB2312" w:cs="Times New Roman"/>
      <w:sz w:val="28"/>
      <w:szCs w:val="20"/>
    </w:rPr>
  </w:style>
  <w:style w:type="character" w:customStyle="1" w:styleId="17">
    <w:name w:val="页眉 字符"/>
    <w:link w:val="9"/>
    <w:qFormat/>
    <w:uiPriority w:val="0"/>
    <w:rPr>
      <w:rFonts w:ascii="Calibri" w:hAnsi="Calibri" w:eastAsia="宋体" w:cs="Times New Roman"/>
      <w:sz w:val="18"/>
      <w:szCs w:val="18"/>
    </w:rPr>
  </w:style>
  <w:style w:type="character" w:customStyle="1" w:styleId="18">
    <w:name w:val="页脚 字符"/>
    <w:link w:val="8"/>
    <w:qFormat/>
    <w:uiPriority w:val="99"/>
    <w:rPr>
      <w:rFonts w:ascii="Calibri" w:hAnsi="Calibri" w:eastAsia="宋体" w:cs="Times New Roman"/>
      <w:sz w:val="18"/>
      <w:szCs w:val="18"/>
    </w:rPr>
  </w:style>
  <w:style w:type="character" w:customStyle="1" w:styleId="19">
    <w:name w:val="批注框文本 字符"/>
    <w:link w:val="7"/>
    <w:semiHidden/>
    <w:qFormat/>
    <w:uiPriority w:val="99"/>
    <w:rPr>
      <w:kern w:val="2"/>
      <w:sz w:val="18"/>
      <w:szCs w:val="18"/>
    </w:rPr>
  </w:style>
  <w:style w:type="character" w:customStyle="1" w:styleId="20">
    <w:name w:val="标题 1 字符"/>
    <w:link w:val="2"/>
    <w:qFormat/>
    <w:uiPriority w:val="9"/>
    <w:rPr>
      <w:rFonts w:ascii="Times New Roman" w:hAnsi="Times New Roman"/>
      <w:b/>
      <w:bCs/>
      <w:kern w:val="44"/>
      <w:sz w:val="44"/>
      <w:szCs w:val="44"/>
    </w:rPr>
  </w:style>
  <w:style w:type="character" w:customStyle="1" w:styleId="21">
    <w:name w:val="纯文本 字符"/>
    <w:link w:val="6"/>
    <w:qFormat/>
    <w:uiPriority w:val="99"/>
    <w:rPr>
      <w:rFonts w:ascii="宋体" w:hAnsi="Courier New"/>
      <w:kern w:val="2"/>
      <w:sz w:val="21"/>
    </w:rPr>
  </w:style>
  <w:style w:type="character" w:customStyle="1" w:styleId="22">
    <w:name w:val="纯文本 Char1"/>
    <w:semiHidden/>
    <w:qFormat/>
    <w:uiPriority w:val="99"/>
    <w:rPr>
      <w:rFonts w:ascii="宋体" w:hAnsi="Courier New" w:cs="Courier New"/>
      <w:kern w:val="2"/>
      <w:sz w:val="21"/>
      <w:szCs w:val="21"/>
    </w:rPr>
  </w:style>
  <w:style w:type="paragraph" w:styleId="23">
    <w:name w:val="List Paragraph"/>
    <w:basedOn w:val="1"/>
    <w:qFormat/>
    <w:uiPriority w:val="34"/>
    <w:pPr>
      <w:ind w:firstLine="420" w:firstLineChars="200"/>
    </w:pPr>
  </w:style>
  <w:style w:type="character" w:customStyle="1" w:styleId="24">
    <w:name w:val="标题 2 字符"/>
    <w:basedOn w:val="13"/>
    <w:link w:val="3"/>
    <w:qFormat/>
    <w:uiPriority w:val="9"/>
    <w:rPr>
      <w:rFonts w:asciiTheme="majorHAnsi" w:hAnsiTheme="majorHAnsi" w:eastAsiaTheme="majorEastAsia" w:cstheme="majorBidi"/>
      <w:b/>
      <w:bCs/>
      <w:kern w:val="2"/>
      <w:sz w:val="32"/>
      <w:szCs w:val="32"/>
    </w:rPr>
  </w:style>
  <w:style w:type="character" w:customStyle="1" w:styleId="25">
    <w:name w:val="批注文字 字符"/>
    <w:basedOn w:val="13"/>
    <w:link w:val="4"/>
    <w:semiHidden/>
    <w:qFormat/>
    <w:uiPriority w:val="99"/>
    <w:rPr>
      <w:kern w:val="2"/>
      <w:sz w:val="21"/>
      <w:szCs w:val="22"/>
    </w:rPr>
  </w:style>
  <w:style w:type="character" w:customStyle="1" w:styleId="26">
    <w:name w:val="批注主题 字符"/>
    <w:basedOn w:val="25"/>
    <w:link w:val="10"/>
    <w:semiHidden/>
    <w:qFormat/>
    <w:uiPriority w:val="99"/>
    <w:rPr>
      <w:b/>
      <w:bCs/>
      <w:kern w:val="2"/>
      <w:sz w:val="21"/>
      <w:szCs w:val="22"/>
    </w:rPr>
  </w:style>
  <w:style w:type="character" w:customStyle="1" w:styleId="27">
    <w:name w:val="ql-bold-700"/>
    <w:basedOn w:val="13"/>
    <w:qFormat/>
    <w:uiPriority w:val="0"/>
  </w:style>
  <w:style w:type="paragraph" w:customStyle="1" w:styleId="28">
    <w:name w:val="Revision"/>
    <w:hidden/>
    <w:semiHidden/>
    <w:qFormat/>
    <w:uiPriority w:val="99"/>
    <w:rPr>
      <w:rFonts w:ascii="Calibri" w:hAnsi="Calibri" w:eastAsia="宋体" w:cs="Times New Roman"/>
      <w:kern w:val="2"/>
      <w:sz w:val="21"/>
      <w:szCs w:val="22"/>
      <w:lang w:val="en-US" w:eastAsia="zh-CN" w:bidi="ar-SA"/>
    </w:rPr>
  </w:style>
  <w:style w:type="character" w:customStyle="1" w:styleId="29">
    <w:name w:val="NormalCharacter"/>
    <w:semiHidden/>
    <w:qFormat/>
    <w:uiPriority w:val="0"/>
    <w:rPr>
      <w:rFonts w:eastAsia="文星简仿宋"/>
      <w:kern w:val="2"/>
      <w:sz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2051</Words>
  <Characters>2108</Characters>
  <Lines>92</Lines>
  <Paragraphs>25</Paragraphs>
  <TotalTime>2</TotalTime>
  <ScaleCrop>false</ScaleCrop>
  <LinksUpToDate>false</LinksUpToDate>
  <CharactersWithSpaces>2137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2022-09-27T06:49:00Z</dcterms:created>
  <dc:creator>Jean Li</dc:creator>
  <cp:lastModifiedBy>Administrator</cp:lastModifiedBy>
  <cp:lastPrinted>2024-11-28T07:50:00Z</cp:lastPrinted>
  <dcterms:modified xsi:type="dcterms:W3CDTF">2025-02-17T03:25:42Z</dcterms:modified>
  <cp:revision>882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D4E743A703A944F6B2894E06820537B1</vt:lpwstr>
  </property>
  <property fmtid="{D5CDD505-2E9C-101B-9397-08002B2CF9AE}" pid="4" name="KSOTemplateDocerSaveRecord">
    <vt:lpwstr>eyJoZGlkIjoiMDI2ZTUzZTcyY2EyMzAyZGFjNDdhOGVjY2I3MDFmYzciLCJ1c2VySWQiOiIxMDQzMDQ1NDYwIn0=</vt:lpwstr>
  </property>
</Properties>
</file>