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left"/>
        <w:rPr>
          <w:rFonts w:hint="eastAsia" w:ascii="黑体" w:hAnsi="黑体" w:eastAsia="黑体"/>
          <w:kern w:val="0"/>
          <w:sz w:val="32"/>
          <w:szCs w:val="32"/>
          <w:lang w:val="en-US" w:eastAsia="zh-CN"/>
        </w:rPr>
      </w:pPr>
      <w:r>
        <w:rPr>
          <w:rFonts w:hint="eastAsia" w:ascii="黑体" w:hAnsi="黑体" w:eastAsia="黑体"/>
          <w:kern w:val="0"/>
          <w:sz w:val="32"/>
          <w:szCs w:val="32"/>
        </w:rPr>
        <w:t>附件</w:t>
      </w:r>
    </w:p>
    <w:p>
      <w:pPr>
        <w:widowControl/>
        <w:adjustRightInd w:val="0"/>
        <w:spacing w:line="560" w:lineRule="exact"/>
        <w:rPr>
          <w:rFonts w:ascii="黑体" w:hAnsi="黑体" w:eastAsia="黑体"/>
          <w:sz w:val="32"/>
          <w:szCs w:val="32"/>
        </w:rPr>
      </w:pPr>
    </w:p>
    <w:p>
      <w:pPr>
        <w:widowControl/>
        <w:snapToGrid w:val="0"/>
        <w:jc w:val="center"/>
        <w:rPr>
          <w:rFonts w:ascii="方正小标宋简体" w:eastAsia="方正小标宋简体"/>
          <w:sz w:val="44"/>
          <w:szCs w:val="44"/>
        </w:rPr>
      </w:pPr>
      <w:r>
        <w:rPr>
          <w:rFonts w:hint="eastAsia" w:ascii="方正小标宋简体" w:eastAsia="方正小标宋简体"/>
          <w:sz w:val="44"/>
          <w:szCs w:val="44"/>
        </w:rPr>
        <w:t>深圳证券交易所上市公司自律监管指南</w:t>
      </w:r>
    </w:p>
    <w:p>
      <w:pPr>
        <w:widowControl/>
        <w:snapToGrid w:val="0"/>
        <w:jc w:val="center"/>
        <w:rPr>
          <w:rFonts w:ascii="方正小标宋简体" w:eastAsia="方正小标宋简体"/>
          <w:sz w:val="44"/>
          <w:szCs w:val="44"/>
        </w:rPr>
      </w:pPr>
      <w:r>
        <w:rPr>
          <w:rFonts w:hint="eastAsia" w:ascii="方正小标宋简体" w:eastAsia="方正小标宋简体"/>
          <w:sz w:val="44"/>
          <w:szCs w:val="44"/>
        </w:rPr>
        <w:t>第2号——公告格式（2024年</w:t>
      </w:r>
      <w:r>
        <w:rPr>
          <w:rFonts w:hint="eastAsia" w:ascii="方正小标宋简体" w:eastAsia="方正小标宋简体"/>
          <w:sz w:val="44"/>
          <w:szCs w:val="44"/>
          <w:lang w:val="en-US" w:eastAsia="zh-CN"/>
        </w:rPr>
        <w:t>11月</w:t>
      </w:r>
      <w:r>
        <w:rPr>
          <w:rFonts w:hint="eastAsia" w:ascii="方正小标宋简体" w:eastAsia="方正小标宋简体"/>
          <w:sz w:val="44"/>
          <w:szCs w:val="44"/>
        </w:rPr>
        <w:t>修订）</w:t>
      </w:r>
    </w:p>
    <w:p>
      <w:pPr>
        <w:widowControl/>
        <w:adjustRightInd w:val="0"/>
        <w:spacing w:line="560" w:lineRule="exact"/>
        <w:rPr>
          <w:rFonts w:ascii="黑体" w:hAnsi="黑体" w:eastAsia="黑体"/>
          <w:sz w:val="32"/>
          <w:szCs w:val="32"/>
        </w:rPr>
      </w:pPr>
    </w:p>
    <w:p>
      <w:pPr>
        <w:widowControl/>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为了规范深圳证券交易所（以下简称本所）主板上市公司和相关信息披露义务人的信息</w:t>
      </w:r>
      <w:bookmarkStart w:id="575" w:name="_GoBack"/>
      <w:bookmarkEnd w:id="575"/>
      <w:r>
        <w:rPr>
          <w:rFonts w:hint="eastAsia" w:ascii="仿宋" w:hAnsi="仿宋" w:eastAsia="仿宋"/>
          <w:sz w:val="32"/>
          <w:szCs w:val="32"/>
        </w:rPr>
        <w:t>披露行为，提高上市公司信息披露质量，根据《中华人民共和国公司法》（以下简称《公司法》）、《中华人民共和国证券法》（以下简称《证券法》）等法律、行政法规、部门规章、规范性文件（以下统称法律法规）以及《深圳证券交易所股票上市规则》（以下简称《股票上市规则》）等有关规定，制定本指南。</w:t>
      </w:r>
    </w:p>
    <w:p>
      <w:pPr>
        <w:widowControl/>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和相关信息披露义务人应当按照本指南规定的公告格式编制公告。公告不属于公告格式范围的，应当按照相关法律法规以及本所《股票上市规则》等有关规定的要求编制，必要时可参考相关公告格式的要求。</w:t>
      </w:r>
    </w:p>
    <w:p>
      <w:pPr>
        <w:widowControl/>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和相关信息披露义务人应当在其编制的公告中声明：保证本公告内容不存在任何虚假记载、误导性陈述或者重大遗漏，并依法对其内容的真实性、准确性和完整性承担相应责任。如相关人员对公告内容的真实性、准确性和完整性无法保证或存在异议的，公司应当在公告中作特别提示。</w:t>
      </w:r>
    </w:p>
    <w:p>
      <w:pPr>
        <w:widowControl/>
        <w:adjustRightInd w:val="0"/>
        <w:spacing w:line="560" w:lineRule="exact"/>
        <w:ind w:firstLine="630"/>
        <w:rPr>
          <w:rFonts w:ascii="Times New Roman" w:hAnsi="Times New Roman" w:eastAsia="仿宋"/>
          <w:sz w:val="32"/>
          <w:szCs w:val="32"/>
        </w:rPr>
      </w:pPr>
    </w:p>
    <w:p>
      <w:pPr>
        <w:pStyle w:val="82"/>
        <w:jc w:val="center"/>
        <w:rPr>
          <w:rFonts w:hint="eastAsia" w:ascii="仿宋" w:hAnsi="仿宋" w:eastAsia="仿宋" w:cs="仿宋"/>
          <w:color w:val="auto"/>
          <w:sz w:val="32"/>
          <w:szCs w:val="32"/>
          <w:lang w:val="zh-CN" w:eastAsia="zh-CN"/>
        </w:rPr>
      </w:pPr>
      <w:r>
        <w:rPr>
          <w:rFonts w:hint="eastAsia" w:ascii="仿宋" w:hAnsi="仿宋" w:eastAsia="仿宋" w:cs="仿宋"/>
          <w:color w:val="auto"/>
          <w:sz w:val="32"/>
          <w:szCs w:val="32"/>
          <w:lang w:val="zh-CN"/>
        </w:rPr>
        <w:t>目  录</w:t>
      </w:r>
    </w:p>
    <w:sdt>
      <w:sdtPr>
        <w:rPr>
          <w:rFonts w:hint="eastAsia" w:ascii="仿宋" w:hAnsi="仿宋" w:eastAsia="仿宋" w:cs="仿宋"/>
          <w:sz w:val="32"/>
          <w:szCs w:val="32"/>
          <w:lang w:val="zh-CN"/>
        </w:rPr>
        <w:id w:val="902720612"/>
        <w:docPartObj>
          <w:docPartGallery w:val="Table of Contents"/>
          <w:docPartUnique/>
        </w:docPartObj>
      </w:sdtPr>
      <w:sdtEndPr>
        <w:rPr>
          <w:rFonts w:hint="eastAsia" w:ascii="仿宋" w:hAnsi="仿宋" w:eastAsia="仿宋" w:cs="仿宋"/>
          <w:b/>
          <w:bCs/>
          <w:sz w:val="32"/>
          <w:szCs w:val="32"/>
          <w:lang w:val="zh-CN"/>
        </w:rPr>
      </w:sdtEndPr>
      <w:sdtContent>
        <w:p>
          <w:pPr>
            <w:widowControl/>
            <w:adjustRightInd w:val="0"/>
            <w:spacing w:line="560" w:lineRule="exact"/>
            <w:rPr>
              <w:rFonts w:hint="eastAsia" w:ascii="仿宋" w:hAnsi="仿宋" w:eastAsia="仿宋" w:cs="仿宋"/>
              <w:b/>
              <w:bCs/>
              <w:kern w:val="2"/>
              <w:sz w:val="32"/>
              <w:szCs w:val="32"/>
              <w:lang w:val="zh-CN" w:eastAsia="zh-CN" w:bidi="ar-SA"/>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_Toc24080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股份变动类第1号　上市公司首次公开发行前已发行股份上市流通公告格式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_Toc24080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_Toc17469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股份变动类第2号　上市公司新增股份变动报告及上市公告书公告格式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_Toc17469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_Toc28298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股份变动类第3号　上市公司股改限售股份上市流通公告格式</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_Toc28298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_Toc25941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股份变动类第4号　上市公司股东减持股份实施情况公告格式</w:t>
          </w:r>
          <w:r>
            <w:rPr>
              <w:rFonts w:hint="eastAsia" w:ascii="仿宋" w:hAnsi="仿宋" w:eastAsia="仿宋" w:cs="仿宋"/>
              <w:sz w:val="32"/>
              <w:szCs w:val="32"/>
            </w:rPr>
            <w:tab/>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_Toc25941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_Toc15185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股份变动类第5号　上市公司股东及董事、监事、高级管理人员减持股份预披露公告格式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_Toc15185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_Toc30702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股份变动类第6号　上市公司大股东及董事、监事、高级管理人员增持股份计划及实施情况公告格式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_Toc30702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_Toc32085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股份变动类第7号　上市公司5%以上股东持股增减变动1%的公告格式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_Toc32085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_Toc5785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公司治理类第1号　上市公司董事会决议公告格式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_Toc5785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_Toc31954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公司治理类第2号　上市公司监事会决议公告格式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_Toc31954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_Toc26822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公司治理类第3号　上市公司召开股东大会通知公告格式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_Toc26822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_Toc27388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公司治理类第4号　上市公司股东大会决议公告格式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_Toc27388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_Toc27737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公司治理类第5号　上市公司股东征集表决权公告格式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_Toc27737 \h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_Toc439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公司治理类第6号　上市公司股东征集提案权公告格式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_Toc439 \h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_Toc8424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公司治理类第7号　上市公司独立董事提名人及候选人声明与承诺公告格式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_Toc8424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_Toc25191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定期报告类第1号　上市公司业绩预告公告格式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_Toc25191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_Toc18921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定期报告类第2号　上市公司业绩预告修正公告格式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_Toc18921 \h </w:instrText>
          </w:r>
          <w:r>
            <w:rPr>
              <w:rFonts w:hint="eastAsia" w:ascii="仿宋" w:hAnsi="仿宋" w:eastAsia="仿宋" w:cs="仿宋"/>
              <w:sz w:val="32"/>
              <w:szCs w:val="32"/>
            </w:rPr>
            <w:fldChar w:fldCharType="separate"/>
          </w:r>
          <w:r>
            <w:rPr>
              <w:rFonts w:hint="eastAsia" w:ascii="仿宋" w:hAnsi="仿宋" w:eastAsia="仿宋" w:cs="仿宋"/>
              <w:sz w:val="32"/>
              <w:szCs w:val="32"/>
            </w:rPr>
            <w:t>91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_Toc13272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定期报告类第3号　上市公司业绩快报公告格式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_Toc13272 \h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_Toc26459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定期报告类第4号　上市公司业绩快报修正公告格式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_Toc26459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_Toc16589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定期报告类第5号　上市公司季度报告公告格式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_Toc16589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_Toc16562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rPr>
            <w:t>定期报告类第6号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上市公司利润分配和资本公积金转增</w:t>
          </w:r>
          <w:r>
            <w:rPr>
              <w:rFonts w:hint="eastAsia" w:ascii="仿宋" w:hAnsi="仿宋" w:eastAsia="仿宋" w:cs="仿宋"/>
              <w:sz w:val="32"/>
              <w:szCs w:val="32"/>
              <w:lang w:eastAsia="zh-CN"/>
            </w:rPr>
            <w:t>股本</w:t>
          </w:r>
          <w:r>
            <w:rPr>
              <w:rFonts w:hint="eastAsia" w:ascii="仿宋" w:hAnsi="仿宋" w:eastAsia="仿宋" w:cs="仿宋"/>
              <w:sz w:val="32"/>
              <w:szCs w:val="32"/>
            </w:rPr>
            <w:t>方案公告格式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_Toc16562 \h </w:instrText>
          </w:r>
          <w:r>
            <w:rPr>
              <w:rFonts w:hint="eastAsia" w:ascii="仿宋" w:hAnsi="仿宋" w:eastAsia="仿宋" w:cs="仿宋"/>
              <w:sz w:val="32"/>
              <w:szCs w:val="32"/>
            </w:rPr>
            <w:fldChar w:fldCharType="separate"/>
          </w:r>
          <w:r>
            <w:rPr>
              <w:rFonts w:hint="eastAsia" w:ascii="仿宋" w:hAnsi="仿宋" w:eastAsia="仿宋" w:cs="仿宋"/>
              <w:sz w:val="32"/>
              <w:szCs w:val="32"/>
            </w:rPr>
            <w:t>107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_Toc19404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w:t>
          </w:r>
          <w:r>
            <w:rPr>
              <w:rFonts w:hint="eastAsia" w:ascii="仿宋" w:hAnsi="仿宋" w:eastAsia="仿宋" w:cs="仿宋"/>
              <w:kern w:val="44"/>
              <w:sz w:val="32"/>
              <w:szCs w:val="32"/>
              <w:lang w:val="en-US" w:eastAsia="zh-CN"/>
            </w:rPr>
            <w:t>7</w:t>
          </w:r>
          <w:r>
            <w:rPr>
              <w:rFonts w:hint="eastAsia" w:ascii="仿宋" w:hAnsi="仿宋" w:eastAsia="仿宋" w:cs="仿宋"/>
              <w:kern w:val="44"/>
              <w:sz w:val="32"/>
              <w:szCs w:val="32"/>
            </w:rPr>
            <w:t>号　上市公司分红派息、转增股本实施公告格式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_Toc19404 \h </w:instrText>
          </w:r>
          <w:r>
            <w:rPr>
              <w:rFonts w:hint="eastAsia" w:ascii="仿宋" w:hAnsi="仿宋" w:eastAsia="仿宋" w:cs="仿宋"/>
              <w:sz w:val="32"/>
              <w:szCs w:val="32"/>
            </w:rPr>
            <w:fldChar w:fldCharType="separate"/>
          </w:r>
          <w:r>
            <w:rPr>
              <w:rFonts w:hint="eastAsia" w:ascii="仿宋" w:hAnsi="仿宋" w:eastAsia="仿宋" w:cs="仿宋"/>
              <w:sz w:val="32"/>
              <w:szCs w:val="32"/>
            </w:rPr>
            <w:t>114</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_Toc9732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w:t>
          </w:r>
          <w:r>
            <w:rPr>
              <w:rFonts w:hint="eastAsia" w:ascii="仿宋" w:hAnsi="仿宋" w:eastAsia="仿宋" w:cs="仿宋"/>
              <w:kern w:val="44"/>
              <w:sz w:val="32"/>
              <w:szCs w:val="32"/>
              <w:lang w:val="en-US" w:eastAsia="zh-CN"/>
            </w:rPr>
            <w:t>8</w:t>
          </w:r>
          <w:r>
            <w:rPr>
              <w:rFonts w:hint="eastAsia" w:ascii="仿宋" w:hAnsi="仿宋" w:eastAsia="仿宋" w:cs="仿宋"/>
              <w:kern w:val="44"/>
              <w:sz w:val="32"/>
              <w:szCs w:val="32"/>
            </w:rPr>
            <w:t>号　上市公司会计政策变更公告格式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_Toc9732 \h </w:instrText>
          </w:r>
          <w:r>
            <w:rPr>
              <w:rFonts w:hint="eastAsia" w:ascii="仿宋" w:hAnsi="仿宋" w:eastAsia="仿宋" w:cs="仿宋"/>
              <w:sz w:val="32"/>
              <w:szCs w:val="32"/>
            </w:rPr>
            <w:fldChar w:fldCharType="separate"/>
          </w:r>
          <w:r>
            <w:rPr>
              <w:rFonts w:hint="eastAsia" w:ascii="仿宋" w:hAnsi="仿宋" w:eastAsia="仿宋" w:cs="仿宋"/>
              <w:sz w:val="32"/>
              <w:szCs w:val="32"/>
            </w:rPr>
            <w:t>120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_Toc20432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定期报告类第</w:t>
          </w:r>
          <w:r>
            <w:rPr>
              <w:rFonts w:hint="eastAsia" w:ascii="仿宋" w:hAnsi="仿宋" w:eastAsia="仿宋" w:cs="仿宋"/>
              <w:kern w:val="44"/>
              <w:sz w:val="32"/>
              <w:szCs w:val="32"/>
              <w:lang w:val="en-US" w:eastAsia="zh-CN"/>
            </w:rPr>
            <w:t>9</w:t>
          </w:r>
          <w:r>
            <w:rPr>
              <w:rFonts w:hint="eastAsia" w:ascii="仿宋" w:hAnsi="仿宋" w:eastAsia="仿宋" w:cs="仿宋"/>
              <w:kern w:val="44"/>
              <w:sz w:val="32"/>
              <w:szCs w:val="32"/>
            </w:rPr>
            <w:t>号　上市公司拟续聘/变更会计师事务所公告格式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_Toc20432 \h </w:instrText>
          </w:r>
          <w:r>
            <w:rPr>
              <w:rFonts w:hint="eastAsia" w:ascii="仿宋" w:hAnsi="仿宋" w:eastAsia="仿宋" w:cs="仿宋"/>
              <w:sz w:val="32"/>
              <w:szCs w:val="32"/>
            </w:rPr>
            <w:fldChar w:fldCharType="separate"/>
          </w:r>
          <w:r>
            <w:rPr>
              <w:rFonts w:hint="eastAsia" w:ascii="仿宋" w:hAnsi="仿宋" w:eastAsia="仿宋" w:cs="仿宋"/>
              <w:sz w:val="32"/>
              <w:szCs w:val="32"/>
            </w:rPr>
            <w:t>123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_Toc22276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交易类第1号　上市公司购买、出售资产公告格式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_Toc22276 \h </w:instrText>
          </w:r>
          <w:r>
            <w:rPr>
              <w:rFonts w:hint="eastAsia" w:ascii="仿宋" w:hAnsi="仿宋" w:eastAsia="仿宋" w:cs="仿宋"/>
              <w:sz w:val="32"/>
              <w:szCs w:val="32"/>
            </w:rPr>
            <w:fldChar w:fldCharType="separate"/>
          </w:r>
          <w:r>
            <w:rPr>
              <w:rFonts w:hint="eastAsia" w:ascii="仿宋" w:hAnsi="仿宋" w:eastAsia="仿宋" w:cs="仿宋"/>
              <w:sz w:val="32"/>
              <w:szCs w:val="32"/>
            </w:rPr>
            <w:t>128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_Toc27088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交易类第2号　上市公司对外（含委托）投资公告格式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_Toc27088 \h </w:instrText>
          </w:r>
          <w:r>
            <w:rPr>
              <w:rFonts w:hint="eastAsia" w:ascii="仿宋" w:hAnsi="仿宋" w:eastAsia="仿宋" w:cs="仿宋"/>
              <w:sz w:val="32"/>
              <w:szCs w:val="32"/>
            </w:rPr>
            <w:fldChar w:fldCharType="separate"/>
          </w:r>
          <w:r>
            <w:rPr>
              <w:rFonts w:hint="eastAsia" w:ascii="仿宋" w:hAnsi="仿宋" w:eastAsia="仿宋" w:cs="仿宋"/>
              <w:sz w:val="32"/>
              <w:szCs w:val="32"/>
            </w:rPr>
            <w:t>139</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_Toc21924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交易类第3号　上市公司证券投资、委托理财公告格式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_Toc21924 \h </w:instrText>
          </w:r>
          <w:r>
            <w:rPr>
              <w:rFonts w:hint="eastAsia" w:ascii="仿宋" w:hAnsi="仿宋" w:eastAsia="仿宋" w:cs="仿宋"/>
              <w:sz w:val="32"/>
              <w:szCs w:val="32"/>
            </w:rPr>
            <w:fldChar w:fldCharType="separate"/>
          </w:r>
          <w:r>
            <w:rPr>
              <w:rFonts w:hint="eastAsia" w:ascii="仿宋" w:hAnsi="仿宋" w:eastAsia="仿宋" w:cs="仿宋"/>
              <w:sz w:val="32"/>
              <w:szCs w:val="32"/>
            </w:rPr>
            <w:t>143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_Toc3381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交易类第4号　上市公司提供财务资助公告格式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_Toc3381 \h </w:instrText>
          </w:r>
          <w:r>
            <w:rPr>
              <w:rFonts w:hint="eastAsia" w:ascii="仿宋" w:hAnsi="仿宋" w:eastAsia="仿宋" w:cs="仿宋"/>
              <w:sz w:val="32"/>
              <w:szCs w:val="32"/>
            </w:rPr>
            <w:fldChar w:fldCharType="separate"/>
          </w:r>
          <w:r>
            <w:rPr>
              <w:rFonts w:hint="eastAsia" w:ascii="仿宋" w:hAnsi="仿宋" w:eastAsia="仿宋" w:cs="仿宋"/>
              <w:sz w:val="32"/>
              <w:szCs w:val="32"/>
            </w:rPr>
            <w:t>146</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_Toc32329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交易类第5号　上市公司对外担保公告格式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_Toc32329 \h </w:instrText>
          </w:r>
          <w:r>
            <w:rPr>
              <w:rFonts w:hint="eastAsia" w:ascii="仿宋" w:hAnsi="仿宋" w:eastAsia="仿宋" w:cs="仿宋"/>
              <w:sz w:val="32"/>
              <w:szCs w:val="32"/>
            </w:rPr>
            <w:fldChar w:fldCharType="separate"/>
          </w:r>
          <w:r>
            <w:rPr>
              <w:rFonts w:hint="eastAsia" w:ascii="仿宋" w:hAnsi="仿宋" w:eastAsia="仿宋" w:cs="仿宋"/>
              <w:sz w:val="32"/>
              <w:szCs w:val="32"/>
            </w:rPr>
            <w:t>151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_Toc2279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交易类第6号　上市公司债务重组公告格式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_Toc2279 \h </w:instrText>
          </w:r>
          <w:r>
            <w:rPr>
              <w:rFonts w:hint="eastAsia" w:ascii="仿宋" w:hAnsi="仿宋" w:eastAsia="仿宋" w:cs="仿宋"/>
              <w:sz w:val="32"/>
              <w:szCs w:val="32"/>
            </w:rPr>
            <w:fldChar w:fldCharType="separate"/>
          </w:r>
          <w:r>
            <w:rPr>
              <w:rFonts w:hint="eastAsia" w:ascii="仿宋" w:hAnsi="仿宋" w:eastAsia="仿宋" w:cs="仿宋"/>
              <w:sz w:val="32"/>
              <w:szCs w:val="32"/>
            </w:rPr>
            <w:t>155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_Toc8175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交易类第7号　上市公司放弃权利公告格式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_Toc8175 \h </w:instrText>
          </w:r>
          <w:r>
            <w:rPr>
              <w:rFonts w:hint="eastAsia" w:ascii="仿宋" w:hAnsi="仿宋" w:eastAsia="仿宋" w:cs="仿宋"/>
              <w:sz w:val="32"/>
              <w:szCs w:val="32"/>
            </w:rPr>
            <w:fldChar w:fldCharType="separate"/>
          </w:r>
          <w:r>
            <w:rPr>
              <w:rFonts w:hint="eastAsia" w:ascii="仿宋" w:hAnsi="仿宋" w:eastAsia="仿宋" w:cs="仿宋"/>
              <w:sz w:val="32"/>
              <w:szCs w:val="32"/>
            </w:rPr>
            <w:t>159</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_Toc1244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交易类第8号　上市公司重大合同（框架性协议等）公告格式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_Toc1244 \h </w:instrText>
          </w:r>
          <w:r>
            <w:rPr>
              <w:rFonts w:hint="eastAsia" w:ascii="仿宋" w:hAnsi="仿宋" w:eastAsia="仿宋" w:cs="仿宋"/>
              <w:sz w:val="32"/>
              <w:szCs w:val="32"/>
            </w:rPr>
            <w:fldChar w:fldCharType="separate"/>
          </w:r>
          <w:r>
            <w:rPr>
              <w:rFonts w:hint="eastAsia" w:ascii="仿宋" w:hAnsi="仿宋" w:eastAsia="仿宋" w:cs="仿宋"/>
              <w:sz w:val="32"/>
              <w:szCs w:val="32"/>
            </w:rPr>
            <w:t>163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_Toc11257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交易类第9号　上市公司关联交易公告格式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_Toc11257 \h </w:instrText>
          </w:r>
          <w:r>
            <w:rPr>
              <w:rFonts w:hint="eastAsia" w:ascii="仿宋" w:hAnsi="仿宋" w:eastAsia="仿宋" w:cs="仿宋"/>
              <w:sz w:val="32"/>
              <w:szCs w:val="32"/>
            </w:rPr>
            <w:fldChar w:fldCharType="separate"/>
          </w:r>
          <w:r>
            <w:rPr>
              <w:rFonts w:hint="eastAsia" w:ascii="仿宋" w:hAnsi="仿宋" w:eastAsia="仿宋" w:cs="仿宋"/>
              <w:sz w:val="32"/>
              <w:szCs w:val="32"/>
            </w:rPr>
            <w:t>168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_Toc31015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交易类第10号　上市公司日常关联交易预计公告格式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_Toc31015 \h </w:instrText>
          </w:r>
          <w:r>
            <w:rPr>
              <w:rFonts w:hint="eastAsia" w:ascii="仿宋" w:hAnsi="仿宋" w:eastAsia="仿宋" w:cs="仿宋"/>
              <w:sz w:val="32"/>
              <w:szCs w:val="32"/>
            </w:rPr>
            <w:fldChar w:fldCharType="separate"/>
          </w:r>
          <w:r>
            <w:rPr>
              <w:rFonts w:hint="eastAsia" w:ascii="仿宋" w:hAnsi="仿宋" w:eastAsia="仿宋" w:cs="仿宋"/>
              <w:sz w:val="32"/>
              <w:szCs w:val="32"/>
            </w:rPr>
            <w:t>175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_Toc15738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交易类第11号　上市公司与专业投资机构共同投资及合作公告</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_Toc15738 \h </w:instrText>
          </w:r>
          <w:r>
            <w:rPr>
              <w:rFonts w:hint="eastAsia" w:ascii="仿宋" w:hAnsi="仿宋" w:eastAsia="仿宋" w:cs="仿宋"/>
              <w:sz w:val="32"/>
              <w:szCs w:val="32"/>
            </w:rPr>
            <w:fldChar w:fldCharType="separate"/>
          </w:r>
          <w:r>
            <w:rPr>
              <w:rFonts w:hint="eastAsia" w:ascii="仿宋" w:hAnsi="仿宋" w:eastAsia="仿宋" w:cs="仿宋"/>
              <w:sz w:val="32"/>
              <w:szCs w:val="32"/>
            </w:rPr>
            <w:t>181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_Toc21144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交易类第12号　上市公司董事会关于重大资产重组实施情况报</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告书格式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_Toc21144 \h </w:instrText>
          </w:r>
          <w:r>
            <w:rPr>
              <w:rFonts w:hint="eastAsia" w:ascii="仿宋" w:hAnsi="仿宋" w:eastAsia="仿宋" w:cs="仿宋"/>
              <w:sz w:val="32"/>
              <w:szCs w:val="32"/>
            </w:rPr>
            <w:fldChar w:fldCharType="separate"/>
          </w:r>
          <w:r>
            <w:rPr>
              <w:rFonts w:hint="eastAsia" w:ascii="仿宋" w:hAnsi="仿宋" w:eastAsia="仿宋" w:cs="仿宋"/>
              <w:sz w:val="32"/>
              <w:szCs w:val="32"/>
            </w:rPr>
            <w:t>186</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_Toc31723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交易类第13号　上市公司期货和衍生品交易（含套期保值业务）公告格式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_Toc31723 \h </w:instrText>
          </w:r>
          <w:r>
            <w:rPr>
              <w:rFonts w:hint="eastAsia" w:ascii="仿宋" w:hAnsi="仿宋" w:eastAsia="仿宋" w:cs="仿宋"/>
              <w:sz w:val="32"/>
              <w:szCs w:val="32"/>
            </w:rPr>
            <w:fldChar w:fldCharType="separate"/>
          </w:r>
          <w:r>
            <w:rPr>
              <w:rFonts w:hint="eastAsia" w:ascii="仿宋" w:hAnsi="仿宋" w:eastAsia="仿宋" w:cs="仿宋"/>
              <w:sz w:val="32"/>
              <w:szCs w:val="32"/>
            </w:rPr>
            <w:t>190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_Toc22816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再融资类第１号　上市公司用募集资金置换先期投入公告格式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_Toc22816 \h </w:instrText>
          </w:r>
          <w:r>
            <w:rPr>
              <w:rFonts w:hint="eastAsia" w:ascii="仿宋" w:hAnsi="仿宋" w:eastAsia="仿宋" w:cs="仿宋"/>
              <w:sz w:val="32"/>
              <w:szCs w:val="32"/>
            </w:rPr>
            <w:fldChar w:fldCharType="separate"/>
          </w:r>
          <w:r>
            <w:rPr>
              <w:rFonts w:hint="eastAsia" w:ascii="仿宋" w:hAnsi="仿宋" w:eastAsia="仿宋" w:cs="仿宋"/>
              <w:sz w:val="32"/>
              <w:szCs w:val="32"/>
            </w:rPr>
            <w:t>195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_Toc15461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再融资类第２号　上市公司募集资金年度存放与使用情况公告</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_Toc15461 \h </w:instrText>
          </w:r>
          <w:r>
            <w:rPr>
              <w:rFonts w:hint="eastAsia" w:ascii="仿宋" w:hAnsi="仿宋" w:eastAsia="仿宋" w:cs="仿宋"/>
              <w:sz w:val="32"/>
              <w:szCs w:val="32"/>
            </w:rPr>
            <w:fldChar w:fldCharType="separate"/>
          </w:r>
          <w:r>
            <w:rPr>
              <w:rFonts w:hint="eastAsia" w:ascii="仿宋" w:hAnsi="仿宋" w:eastAsia="仿宋" w:cs="仿宋"/>
              <w:sz w:val="32"/>
              <w:szCs w:val="32"/>
            </w:rPr>
            <w:t>197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_Toc20123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再融资类第３号　上市公司变更募集资金用途公告格式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_Toc20123 \h </w:instrText>
          </w:r>
          <w:r>
            <w:rPr>
              <w:rFonts w:hint="eastAsia" w:ascii="仿宋" w:hAnsi="仿宋" w:eastAsia="仿宋" w:cs="仿宋"/>
              <w:sz w:val="32"/>
              <w:szCs w:val="32"/>
            </w:rPr>
            <w:fldChar w:fldCharType="separate"/>
          </w:r>
          <w:r>
            <w:rPr>
              <w:rFonts w:hint="eastAsia" w:ascii="仿宋" w:hAnsi="仿宋" w:eastAsia="仿宋" w:cs="仿宋"/>
              <w:sz w:val="32"/>
              <w:szCs w:val="32"/>
            </w:rPr>
            <w:t>204</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_Toc7641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再融资类第４号　上市公司可转债赎回实施公告格式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_Toc7641 \h </w:instrText>
          </w:r>
          <w:r>
            <w:rPr>
              <w:rFonts w:hint="eastAsia" w:ascii="仿宋" w:hAnsi="仿宋" w:eastAsia="仿宋" w:cs="仿宋"/>
              <w:sz w:val="32"/>
              <w:szCs w:val="32"/>
            </w:rPr>
            <w:fldChar w:fldCharType="separate"/>
          </w:r>
          <w:r>
            <w:rPr>
              <w:rFonts w:hint="eastAsia" w:ascii="仿宋" w:hAnsi="仿宋" w:eastAsia="仿宋" w:cs="仿宋"/>
              <w:sz w:val="32"/>
              <w:szCs w:val="32"/>
            </w:rPr>
            <w:t>208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_Toc12465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再融资类第５号　上市公司可转债赎回结果公告格式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_Toc12465 \h </w:instrText>
          </w:r>
          <w:r>
            <w:rPr>
              <w:rFonts w:hint="eastAsia" w:ascii="仿宋" w:hAnsi="仿宋" w:eastAsia="仿宋" w:cs="仿宋"/>
              <w:sz w:val="32"/>
              <w:szCs w:val="32"/>
            </w:rPr>
            <w:fldChar w:fldCharType="separate"/>
          </w:r>
          <w:r>
            <w:rPr>
              <w:rFonts w:hint="eastAsia" w:ascii="仿宋" w:hAnsi="仿宋" w:eastAsia="仿宋" w:cs="仿宋"/>
              <w:sz w:val="32"/>
              <w:szCs w:val="32"/>
            </w:rPr>
            <w:t>210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_Toc32734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再融资类第6号　上市公司可转债交易异常波动/严重异常波动</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_Toc32734 \h </w:instrText>
          </w:r>
          <w:r>
            <w:rPr>
              <w:rFonts w:hint="eastAsia" w:ascii="仿宋" w:hAnsi="仿宋" w:eastAsia="仿宋" w:cs="仿宋"/>
              <w:sz w:val="32"/>
              <w:szCs w:val="32"/>
            </w:rPr>
            <w:fldChar w:fldCharType="separate"/>
          </w:r>
          <w:r>
            <w:rPr>
              <w:rFonts w:hint="eastAsia" w:ascii="仿宋" w:hAnsi="仿宋" w:eastAsia="仿宋" w:cs="仿宋"/>
              <w:sz w:val="32"/>
              <w:szCs w:val="32"/>
            </w:rPr>
            <w:t>212</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_Toc7913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破产事项类第１号　上市公司破产申请提示性公告格式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_Toc7913 \h </w:instrText>
          </w:r>
          <w:r>
            <w:rPr>
              <w:rFonts w:hint="eastAsia" w:ascii="仿宋" w:hAnsi="仿宋" w:eastAsia="仿宋" w:cs="仿宋"/>
              <w:sz w:val="32"/>
              <w:szCs w:val="32"/>
            </w:rPr>
            <w:fldChar w:fldCharType="separate"/>
          </w:r>
          <w:r>
            <w:rPr>
              <w:rFonts w:hint="eastAsia" w:ascii="仿宋" w:hAnsi="仿宋" w:eastAsia="仿宋" w:cs="仿宋"/>
              <w:sz w:val="32"/>
              <w:szCs w:val="32"/>
            </w:rPr>
            <w:t>217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_Toc28935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破产事项类第２号　上市公司被法院受理破产申请公告格式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_Toc28935 \h </w:instrText>
          </w:r>
          <w:r>
            <w:rPr>
              <w:rFonts w:hint="eastAsia" w:ascii="仿宋" w:hAnsi="仿宋" w:eastAsia="仿宋" w:cs="仿宋"/>
              <w:sz w:val="32"/>
              <w:szCs w:val="32"/>
            </w:rPr>
            <w:fldChar w:fldCharType="separate"/>
          </w:r>
          <w:r>
            <w:rPr>
              <w:rFonts w:hint="eastAsia" w:ascii="仿宋" w:hAnsi="仿宋" w:eastAsia="仿宋" w:cs="仿宋"/>
              <w:sz w:val="32"/>
              <w:szCs w:val="32"/>
            </w:rPr>
            <w:t>219</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_Toc11809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破产事项类第３号　上市公司破产重整计划（和解协议）获准</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_Toc11809 \h </w:instrText>
          </w:r>
          <w:r>
            <w:rPr>
              <w:rFonts w:hint="eastAsia" w:ascii="仿宋" w:hAnsi="仿宋" w:eastAsia="仿宋" w:cs="仿宋"/>
              <w:sz w:val="32"/>
              <w:szCs w:val="32"/>
            </w:rPr>
            <w:fldChar w:fldCharType="separate"/>
          </w:r>
          <w:r>
            <w:rPr>
              <w:rFonts w:hint="eastAsia" w:ascii="仿宋" w:hAnsi="仿宋" w:eastAsia="仿宋" w:cs="仿宋"/>
              <w:sz w:val="32"/>
              <w:szCs w:val="32"/>
            </w:rPr>
            <w:t>221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_Toc22758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破产事项类第４号　上市公司被法院宣告破产暨终止上市风险</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提示性公告格式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_Toc22758 \h </w:instrText>
          </w:r>
          <w:r>
            <w:rPr>
              <w:rFonts w:hint="eastAsia" w:ascii="仿宋" w:hAnsi="仿宋" w:eastAsia="仿宋" w:cs="仿宋"/>
              <w:sz w:val="32"/>
              <w:szCs w:val="32"/>
            </w:rPr>
            <w:fldChar w:fldCharType="separate"/>
          </w:r>
          <w:r>
            <w:rPr>
              <w:rFonts w:hint="eastAsia" w:ascii="仿宋" w:hAnsi="仿宋" w:eastAsia="仿宋" w:cs="仿宋"/>
              <w:sz w:val="32"/>
              <w:szCs w:val="32"/>
            </w:rPr>
            <w:t>223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kern w:val="44"/>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_Toc32012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退市类第1号　上市公司股票可能被终止上市的风险提示公告</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kern w:val="44"/>
              <w:sz w:val="32"/>
              <w:szCs w:val="32"/>
            </w:rPr>
            <w:t>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_Toc32012 \h </w:instrText>
          </w:r>
          <w:r>
            <w:rPr>
              <w:rFonts w:hint="eastAsia" w:ascii="仿宋" w:hAnsi="仿宋" w:eastAsia="仿宋" w:cs="仿宋"/>
              <w:sz w:val="32"/>
              <w:szCs w:val="32"/>
            </w:rPr>
            <w:fldChar w:fldCharType="separate"/>
          </w:r>
          <w:r>
            <w:rPr>
              <w:rFonts w:hint="eastAsia" w:ascii="仿宋" w:hAnsi="仿宋" w:eastAsia="仿宋" w:cs="仿宋"/>
              <w:sz w:val="32"/>
              <w:szCs w:val="32"/>
            </w:rPr>
            <w:t>225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_Toc805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退市类第2号　上市公司收到股票终止上市决定公告格式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_Toc805 \h </w:instrText>
          </w:r>
          <w:r>
            <w:rPr>
              <w:rFonts w:hint="eastAsia" w:ascii="仿宋" w:hAnsi="仿宋" w:eastAsia="仿宋" w:cs="仿宋"/>
              <w:sz w:val="32"/>
              <w:szCs w:val="32"/>
            </w:rPr>
            <w:fldChar w:fldCharType="separate"/>
          </w:r>
          <w:r>
            <w:rPr>
              <w:rFonts w:hint="eastAsia" w:ascii="仿宋" w:hAnsi="仿宋" w:eastAsia="仿宋" w:cs="仿宋"/>
              <w:sz w:val="32"/>
              <w:szCs w:val="32"/>
            </w:rPr>
            <w:t>231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_Toc14698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退市类第3号　上市公司股票进入退市整理期交易首日的风险提示公告/上市公司股票于退市整理期交易的风险提示公告格式</w:t>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_Toc14698 \h </w:instrText>
          </w:r>
          <w:r>
            <w:rPr>
              <w:rFonts w:hint="eastAsia" w:ascii="仿宋" w:hAnsi="仿宋" w:eastAsia="仿宋" w:cs="仿宋"/>
              <w:sz w:val="32"/>
              <w:szCs w:val="32"/>
            </w:rPr>
            <w:fldChar w:fldCharType="separate"/>
          </w:r>
          <w:r>
            <w:rPr>
              <w:rFonts w:hint="eastAsia" w:ascii="仿宋" w:hAnsi="仿宋" w:eastAsia="仿宋" w:cs="仿宋"/>
              <w:sz w:val="32"/>
              <w:szCs w:val="32"/>
            </w:rPr>
            <w:t>234</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_Toc7256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退市类第4号　上市公司股票终止上市暨摘牌公告格式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_Toc7256 \h </w:instrText>
          </w:r>
          <w:r>
            <w:rPr>
              <w:rFonts w:hint="eastAsia" w:ascii="仿宋" w:hAnsi="仿宋" w:eastAsia="仿宋" w:cs="仿宋"/>
              <w:sz w:val="32"/>
              <w:szCs w:val="32"/>
            </w:rPr>
            <w:fldChar w:fldCharType="separate"/>
          </w:r>
          <w:r>
            <w:rPr>
              <w:rFonts w:hint="eastAsia" w:ascii="仿宋" w:hAnsi="仿宋" w:eastAsia="仿宋" w:cs="仿宋"/>
              <w:sz w:val="32"/>
              <w:szCs w:val="32"/>
            </w:rPr>
            <w:t>237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_Toc1033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其他事项类第1号　上市公司股票交易异常波动/严重异常波动公告格式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_Toc1033 \h </w:instrText>
          </w:r>
          <w:r>
            <w:rPr>
              <w:rFonts w:hint="eastAsia" w:ascii="仿宋" w:hAnsi="仿宋" w:eastAsia="仿宋" w:cs="仿宋"/>
              <w:sz w:val="32"/>
              <w:szCs w:val="32"/>
            </w:rPr>
            <w:fldChar w:fldCharType="separate"/>
          </w:r>
          <w:r>
            <w:rPr>
              <w:rFonts w:hint="eastAsia" w:ascii="仿宋" w:hAnsi="仿宋" w:eastAsia="仿宋" w:cs="仿宋"/>
              <w:sz w:val="32"/>
              <w:szCs w:val="32"/>
            </w:rPr>
            <w:t>241</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_Toc30327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其他事项类第2号　上市公司澄清公告格式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_Toc30327 \h </w:instrText>
          </w:r>
          <w:r>
            <w:rPr>
              <w:rFonts w:hint="eastAsia" w:ascii="仿宋" w:hAnsi="仿宋" w:eastAsia="仿宋" w:cs="仿宋"/>
              <w:sz w:val="32"/>
              <w:szCs w:val="32"/>
            </w:rPr>
            <w:fldChar w:fldCharType="separate"/>
          </w:r>
          <w:r>
            <w:rPr>
              <w:rFonts w:hint="eastAsia" w:ascii="仿宋" w:hAnsi="仿宋" w:eastAsia="仿宋" w:cs="仿宋"/>
              <w:sz w:val="32"/>
              <w:szCs w:val="32"/>
            </w:rPr>
            <w:t>245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_Toc20952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其他事项类第３号　上市公司重大诉讼、仲裁公告格式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_Toc20952 \h </w:instrText>
          </w:r>
          <w:r>
            <w:rPr>
              <w:rFonts w:hint="eastAsia" w:ascii="仿宋" w:hAnsi="仿宋" w:eastAsia="仿宋" w:cs="仿宋"/>
              <w:sz w:val="32"/>
              <w:szCs w:val="32"/>
            </w:rPr>
            <w:fldChar w:fldCharType="separate"/>
          </w:r>
          <w:r>
            <w:rPr>
              <w:rFonts w:hint="eastAsia" w:ascii="仿宋" w:hAnsi="仿宋" w:eastAsia="仿宋" w:cs="仿宋"/>
              <w:sz w:val="32"/>
              <w:szCs w:val="32"/>
            </w:rPr>
            <w:t>248</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_Toc23079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其他事项类第4号　上市公司（拟）变更公司名称（含证券简称）公告格式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_Toc23079 \h </w:instrText>
          </w:r>
          <w:r>
            <w:rPr>
              <w:rFonts w:hint="eastAsia" w:ascii="仿宋" w:hAnsi="仿宋" w:eastAsia="仿宋" w:cs="仿宋"/>
              <w:sz w:val="32"/>
              <w:szCs w:val="32"/>
            </w:rPr>
            <w:fldChar w:fldCharType="separate"/>
          </w:r>
          <w:r>
            <w:rPr>
              <w:rFonts w:hint="eastAsia" w:ascii="仿宋" w:hAnsi="仿宋" w:eastAsia="仿宋" w:cs="仿宋"/>
              <w:sz w:val="32"/>
              <w:szCs w:val="32"/>
            </w:rPr>
            <w:t>250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_Toc6804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其他事项类第5号　上市公司股权激励计划行权情况公告格式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_Toc6804 \h </w:instrText>
          </w:r>
          <w:r>
            <w:rPr>
              <w:rFonts w:hint="eastAsia" w:ascii="仿宋" w:hAnsi="仿宋" w:eastAsia="仿宋" w:cs="仿宋"/>
              <w:sz w:val="32"/>
              <w:szCs w:val="32"/>
            </w:rPr>
            <w:fldChar w:fldCharType="separate"/>
          </w:r>
          <w:r>
            <w:rPr>
              <w:rFonts w:hint="eastAsia" w:ascii="仿宋" w:hAnsi="仿宋" w:eastAsia="仿宋" w:cs="仿宋"/>
              <w:sz w:val="32"/>
              <w:szCs w:val="32"/>
            </w:rPr>
            <w:t>253</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_Toc4915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其他事项类第6号　上市公司获得政府补助公告格式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_Toc4915 \h </w:instrText>
          </w:r>
          <w:r>
            <w:rPr>
              <w:rFonts w:hint="eastAsia" w:ascii="仿宋" w:hAnsi="仿宋" w:eastAsia="仿宋" w:cs="仿宋"/>
              <w:sz w:val="32"/>
              <w:szCs w:val="32"/>
            </w:rPr>
            <w:fldChar w:fldCharType="separate"/>
          </w:r>
          <w:r>
            <w:rPr>
              <w:rFonts w:hint="eastAsia" w:ascii="仿宋" w:hAnsi="仿宋" w:eastAsia="仿宋" w:cs="仿宋"/>
              <w:sz w:val="32"/>
              <w:szCs w:val="32"/>
            </w:rPr>
            <w:t>257</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_Toc27091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其他事项类第7号　上市公司回购股份业务相关公告格式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_Toc27091 \h </w:instrText>
          </w:r>
          <w:r>
            <w:rPr>
              <w:rFonts w:hint="eastAsia" w:ascii="仿宋" w:hAnsi="仿宋" w:eastAsia="仿宋" w:cs="仿宋"/>
              <w:sz w:val="32"/>
              <w:szCs w:val="32"/>
            </w:rPr>
            <w:fldChar w:fldCharType="separate"/>
          </w:r>
          <w:r>
            <w:rPr>
              <w:rFonts w:hint="eastAsia" w:ascii="仿宋" w:hAnsi="仿宋" w:eastAsia="仿宋" w:cs="仿宋"/>
              <w:sz w:val="32"/>
              <w:szCs w:val="32"/>
            </w:rPr>
            <w:t>260</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_Toc6631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其他事项类第8号　上市公司股东追加承诺公告格式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_Toc6631 \h </w:instrText>
          </w:r>
          <w:r>
            <w:rPr>
              <w:rFonts w:hint="eastAsia" w:ascii="仿宋" w:hAnsi="仿宋" w:eastAsia="仿宋" w:cs="仿宋"/>
              <w:sz w:val="32"/>
              <w:szCs w:val="32"/>
            </w:rPr>
            <w:fldChar w:fldCharType="separate"/>
          </w:r>
          <w:r>
            <w:rPr>
              <w:rFonts w:hint="eastAsia" w:ascii="仿宋" w:hAnsi="仿宋" w:eastAsia="仿宋" w:cs="仿宋"/>
              <w:sz w:val="32"/>
              <w:szCs w:val="32"/>
            </w:rPr>
            <w:t>272</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hint="eastAsia" w:ascii="仿宋" w:hAnsi="仿宋" w:eastAsia="仿宋" w:cs="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_Toc19840 </w:instrText>
          </w:r>
          <w:r>
            <w:rPr>
              <w:rFonts w:hint="eastAsia" w:ascii="仿宋" w:hAnsi="仿宋" w:eastAsia="仿宋" w:cs="仿宋"/>
              <w:bCs/>
              <w:sz w:val="32"/>
              <w:szCs w:val="32"/>
              <w:lang w:val="zh-CN"/>
            </w:rPr>
            <w:fldChar w:fldCharType="separate"/>
          </w:r>
          <w:r>
            <w:rPr>
              <w:rFonts w:hint="eastAsia" w:ascii="仿宋" w:hAnsi="仿宋" w:eastAsia="仿宋" w:cs="仿宋"/>
              <w:kern w:val="44"/>
              <w:sz w:val="32"/>
              <w:szCs w:val="32"/>
            </w:rPr>
            <w:t>其他事项类第9号　上市公司股东股份质押（冻结或拍卖等）的公告格式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_Toc19840 \h </w:instrText>
          </w:r>
          <w:r>
            <w:rPr>
              <w:rFonts w:hint="eastAsia" w:ascii="仿宋" w:hAnsi="仿宋" w:eastAsia="仿宋" w:cs="仿宋"/>
              <w:sz w:val="32"/>
              <w:szCs w:val="32"/>
            </w:rPr>
            <w:fldChar w:fldCharType="separate"/>
          </w:r>
          <w:r>
            <w:rPr>
              <w:rFonts w:hint="eastAsia" w:ascii="仿宋" w:hAnsi="仿宋" w:eastAsia="仿宋" w:cs="仿宋"/>
              <w:sz w:val="32"/>
              <w:szCs w:val="32"/>
            </w:rPr>
            <w:t>275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p>
        <w:p>
          <w:pPr>
            <w:pStyle w:val="31"/>
            <w:tabs>
              <w:tab w:val="right" w:leader="dot" w:pos="8844"/>
              <w:tab w:val="clear" w:pos="9043"/>
            </w:tabs>
            <w:rPr>
              <w:rFonts w:ascii="Times New Roman" w:hAnsi="Times New Roman" w:eastAsia="仿宋"/>
              <w:sz w:val="32"/>
              <w:szCs w:val="32"/>
            </w:rPr>
          </w:pPr>
          <w:r>
            <w:rPr>
              <w:rFonts w:hint="eastAsia" w:ascii="仿宋" w:hAnsi="仿宋" w:eastAsia="仿宋" w:cs="仿宋"/>
              <w:bCs/>
              <w:sz w:val="32"/>
              <w:szCs w:val="32"/>
              <w:lang w:val="zh-CN"/>
            </w:rPr>
            <w:fldChar w:fldCharType="begin"/>
          </w:r>
          <w:r>
            <w:rPr>
              <w:rFonts w:hint="eastAsia" w:ascii="仿宋" w:hAnsi="仿宋" w:eastAsia="仿宋" w:cs="仿宋"/>
              <w:bCs/>
              <w:sz w:val="32"/>
              <w:szCs w:val="32"/>
              <w:lang w:val="zh-CN"/>
            </w:rPr>
            <w:instrText xml:space="preserve"> HYPERLINK \l _Toc2091 </w:instrText>
          </w:r>
          <w:r>
            <w:rPr>
              <w:rFonts w:hint="eastAsia" w:ascii="仿宋" w:hAnsi="仿宋" w:eastAsia="仿宋" w:cs="仿宋"/>
              <w:bCs/>
              <w:sz w:val="32"/>
              <w:szCs w:val="32"/>
              <w:lang w:val="zh-CN"/>
            </w:rPr>
            <w:fldChar w:fldCharType="separate"/>
          </w:r>
          <w:r>
            <w:rPr>
              <w:rFonts w:hint="eastAsia" w:ascii="仿宋" w:hAnsi="仿宋" w:eastAsia="仿宋" w:cs="仿宋"/>
              <w:sz w:val="32"/>
              <w:szCs w:val="32"/>
              <w:lang w:eastAsia="zh-CN"/>
            </w:rPr>
            <w:t>其他事项</w:t>
          </w:r>
          <w:r>
            <w:rPr>
              <w:rFonts w:hint="eastAsia" w:ascii="仿宋" w:hAnsi="仿宋" w:eastAsia="仿宋" w:cs="仿宋"/>
              <w:sz w:val="32"/>
              <w:szCs w:val="32"/>
            </w:rPr>
            <w:t>类第</w:t>
          </w:r>
          <w:r>
            <w:rPr>
              <w:rFonts w:hint="eastAsia" w:ascii="仿宋" w:hAnsi="仿宋" w:eastAsia="仿宋" w:cs="仿宋"/>
              <w:sz w:val="32"/>
              <w:szCs w:val="32"/>
              <w:lang w:val="en-US" w:eastAsia="zh-CN"/>
            </w:rPr>
            <w:t>10</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上市公司</w:t>
          </w:r>
          <w:r>
            <w:rPr>
              <w:rFonts w:hint="eastAsia" w:ascii="仿宋" w:hAnsi="仿宋" w:eastAsia="仿宋" w:cs="仿宋"/>
              <w:sz w:val="32"/>
              <w:szCs w:val="32"/>
              <w:lang w:eastAsia="zh-CN"/>
            </w:rPr>
            <w:t>估值提升计划</w:t>
          </w:r>
          <w:r>
            <w:rPr>
              <w:rFonts w:hint="eastAsia" w:ascii="仿宋" w:hAnsi="仿宋" w:eastAsia="仿宋" w:cs="仿宋"/>
              <w:sz w:val="32"/>
              <w:szCs w:val="32"/>
            </w:rPr>
            <w:t>公告格式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_Toc2091 \h </w:instrText>
          </w:r>
          <w:r>
            <w:rPr>
              <w:rFonts w:hint="eastAsia" w:ascii="仿宋" w:hAnsi="仿宋" w:eastAsia="仿宋" w:cs="仿宋"/>
              <w:sz w:val="32"/>
              <w:szCs w:val="32"/>
            </w:rPr>
            <w:fldChar w:fldCharType="separate"/>
          </w:r>
          <w:r>
            <w:rPr>
              <w:rFonts w:hint="eastAsia" w:ascii="仿宋" w:hAnsi="仿宋" w:eastAsia="仿宋" w:cs="仿宋"/>
              <w:sz w:val="32"/>
              <w:szCs w:val="32"/>
            </w:rPr>
            <w:t>285</w:t>
          </w:r>
          <w:r>
            <w:rPr>
              <w:rFonts w:hint="eastAsia" w:ascii="仿宋" w:hAnsi="仿宋" w:eastAsia="仿宋" w:cs="仿宋"/>
              <w:sz w:val="32"/>
              <w:szCs w:val="32"/>
            </w:rPr>
            <w:fldChar w:fldCharType="end"/>
          </w:r>
          <w:r>
            <w:rPr>
              <w:rFonts w:hint="eastAsia" w:ascii="仿宋" w:hAnsi="仿宋" w:eastAsia="仿宋" w:cs="仿宋"/>
              <w:bCs/>
              <w:sz w:val="32"/>
              <w:szCs w:val="32"/>
              <w:lang w:val="zh-CN"/>
            </w:rPr>
            <w:fldChar w:fldCharType="end"/>
          </w:r>
          <w:r>
            <w:rPr>
              <w:rFonts w:hint="eastAsia" w:ascii="仿宋" w:hAnsi="仿宋" w:eastAsia="仿宋" w:cs="仿宋"/>
              <w:b/>
              <w:bCs/>
              <w:sz w:val="32"/>
              <w:szCs w:val="32"/>
              <w:lang w:val="zh-CN"/>
            </w:rPr>
            <w:fldChar w:fldCharType="end"/>
          </w:r>
        </w:p>
      </w:sdtContent>
    </w:sdt>
    <w:p>
      <w:pPr>
        <w:rPr>
          <w:rFonts w:hint="eastAsia" w:ascii="方正小标宋简体" w:hAnsi="仿宋" w:eastAsia="方正小标宋简体"/>
          <w:kern w:val="44"/>
          <w:sz w:val="44"/>
          <w:szCs w:val="44"/>
        </w:rPr>
      </w:pPr>
      <w:bookmarkStart w:id="0" w:name="_Toc40795928"/>
      <w:bookmarkStart w:id="1" w:name="_Toc40813199"/>
      <w:bookmarkStart w:id="2" w:name="_Toc91781142"/>
      <w:bookmarkStart w:id="3" w:name="_Toc138173210"/>
      <w:bookmarkStart w:id="4" w:name="_Toc91607624"/>
      <w:bookmarkStart w:id="5" w:name="_Toc60758269"/>
      <w:bookmarkStart w:id="6" w:name="_Toc91782423"/>
      <w:r>
        <w:rPr>
          <w:rFonts w:hint="eastAsia" w:ascii="方正小标宋简体" w:hAnsi="仿宋" w:eastAsia="方正小标宋简体"/>
          <w:kern w:val="44"/>
          <w:sz w:val="44"/>
          <w:szCs w:val="44"/>
        </w:rPr>
        <w:br w:type="page"/>
      </w:r>
    </w:p>
    <w:p>
      <w:pPr>
        <w:keepNext/>
        <w:keepLines/>
        <w:pageBreakBefore w:val="0"/>
        <w:widowControl w:val="0"/>
        <w:kinsoku/>
        <w:wordWrap/>
        <w:overflowPunct/>
        <w:topLinePunct w:val="0"/>
        <w:autoSpaceDE/>
        <w:autoSpaceDN/>
        <w:bidi w:val="0"/>
        <w:adjustRightInd/>
        <w:snapToGrid/>
        <w:spacing w:before="340" w:line="560" w:lineRule="exact"/>
        <w:jc w:val="center"/>
        <w:textAlignment w:val="auto"/>
        <w:outlineLvl w:val="2"/>
        <w:rPr>
          <w:rFonts w:hint="eastAsia" w:ascii="方正小标宋简体" w:hAnsi="仿宋" w:eastAsia="方正小标宋简体"/>
          <w:kern w:val="44"/>
          <w:sz w:val="44"/>
          <w:szCs w:val="44"/>
        </w:rPr>
      </w:pPr>
      <w:bookmarkStart w:id="7" w:name="_Toc24080"/>
      <w:r>
        <w:rPr>
          <w:rFonts w:hint="eastAsia" w:ascii="方正小标宋简体" w:hAnsi="仿宋" w:eastAsia="方正小标宋简体"/>
          <w:kern w:val="44"/>
          <w:sz w:val="44"/>
          <w:szCs w:val="44"/>
        </w:rPr>
        <w:t>股份变动类第1号　上市公司首次公开</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发行前已发</w:t>
      </w:r>
      <w:bookmarkEnd w:id="0"/>
      <w:r>
        <w:rPr>
          <w:rFonts w:hint="eastAsia" w:ascii="方正小标宋简体" w:hAnsi="仿宋" w:eastAsia="方正小标宋简体"/>
          <w:kern w:val="44"/>
          <w:sz w:val="44"/>
          <w:szCs w:val="44"/>
        </w:rPr>
        <w:t>行股份上市流通公告格式</w:t>
      </w:r>
      <w:bookmarkEnd w:id="1"/>
      <w:bookmarkEnd w:id="2"/>
      <w:bookmarkEnd w:id="3"/>
      <w:bookmarkEnd w:id="4"/>
      <w:bookmarkEnd w:id="5"/>
      <w:bookmarkEnd w:id="6"/>
      <w:bookmarkEnd w:id="7"/>
    </w:p>
    <w:p>
      <w:pPr>
        <w:autoSpaceDE w:val="0"/>
        <w:autoSpaceDN w:val="0"/>
        <w:adjustRightInd w:val="0"/>
        <w:spacing w:line="560" w:lineRule="exact"/>
        <w:ind w:firstLine="566" w:firstLineChars="177"/>
        <w:jc w:val="center"/>
        <w:rPr>
          <w:rFonts w:ascii="仿宋" w:hAnsi="仿宋" w:eastAsia="仿宋"/>
          <w:sz w:val="32"/>
          <w:szCs w:val="32"/>
        </w:rPr>
      </w:pPr>
    </w:p>
    <w:p>
      <w:pPr>
        <w:autoSpaceDE w:val="0"/>
        <w:autoSpaceDN w:val="0"/>
        <w:adjustRightInd w:val="0"/>
        <w:spacing w:line="560" w:lineRule="exact"/>
        <w:ind w:firstLine="566" w:firstLineChars="177"/>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XXXXXX股份有限公司首次公开发行前已发行股份</w:t>
      </w:r>
    </w:p>
    <w:p>
      <w:pPr>
        <w:spacing w:line="560" w:lineRule="exact"/>
        <w:jc w:val="center"/>
        <w:rPr>
          <w:rFonts w:ascii="仿宋" w:hAnsi="仿宋" w:eastAsia="仿宋"/>
          <w:sz w:val="32"/>
          <w:szCs w:val="32"/>
        </w:rPr>
      </w:pPr>
      <w:r>
        <w:rPr>
          <w:rFonts w:hint="eastAsia" w:ascii="仿宋" w:hAnsi="仿宋" w:eastAsia="仿宋"/>
          <w:sz w:val="32"/>
          <w:szCs w:val="32"/>
        </w:rPr>
        <w:t>上市流通提示性公告</w:t>
      </w:r>
    </w:p>
    <w:p>
      <w:pPr>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50800</wp:posOffset>
                </wp:positionV>
                <wp:extent cx="5915025" cy="1628775"/>
                <wp:effectExtent l="0" t="0" r="28575" b="28575"/>
                <wp:wrapNone/>
                <wp:docPr id="255" name="矩形 255"/>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4pt;height:128.25pt;width:465.75pt;mso-position-horizontal:center;mso-position-horizontal-relative:margin;z-index:251659264;mso-width-relative:page;mso-height-relative:page;" fillcolor="#FFFFFF" filled="t" stroked="t" coordsize="21600,21600" o:gfxdata="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xlp+1gAAAAYBAAAPAAAAAAAAAAEAIAAAACIAAABkcnMvZG93bnJl&#10;di54bWxQSwECFAAUAAAACACHTuJAELuMq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560"/>
        <w:rPr>
          <w:rFonts w:ascii="仿宋" w:hAnsi="仿宋" w:eastAsia="仿宋"/>
          <w:sz w:val="32"/>
          <w:szCs w:val="32"/>
        </w:rPr>
      </w:pPr>
    </w:p>
    <w:p>
      <w:pPr>
        <w:spacing w:line="560" w:lineRule="exact"/>
        <w:ind w:firstLine="560"/>
        <w:rPr>
          <w:rFonts w:ascii="仿宋" w:hAnsi="仿宋" w:eastAsia="仿宋"/>
          <w:sz w:val="32"/>
          <w:szCs w:val="32"/>
        </w:rPr>
      </w:pPr>
    </w:p>
    <w:p>
      <w:pPr>
        <w:spacing w:line="560" w:lineRule="exact"/>
        <w:ind w:firstLine="560"/>
        <w:rPr>
          <w:rFonts w:ascii="仿宋" w:hAnsi="仿宋" w:eastAsia="仿宋"/>
          <w:sz w:val="32"/>
          <w:szCs w:val="32"/>
        </w:rPr>
      </w:pPr>
    </w:p>
    <w:p>
      <w:pPr>
        <w:spacing w:line="560" w:lineRule="exact"/>
        <w:ind w:firstLine="560"/>
        <w:rPr>
          <w:rFonts w:ascii="仿宋" w:hAnsi="仿宋" w:eastAsia="仿宋"/>
          <w:b/>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特别提示：</w:t>
      </w:r>
      <w:r>
        <w:rPr>
          <w:rFonts w:hint="eastAsia" w:ascii="仿宋" w:hAnsi="仿宋" w:eastAsia="仿宋"/>
          <w:sz w:val="32"/>
          <w:szCs w:val="32"/>
        </w:rPr>
        <w:t>应提示公司首次公开发行前已发行股份本次解除限售的数量和上市流通日期。</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一、首次公开发行前已发行股份概况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说明公司股票首次上市时间，首次公开发行前已发行股份数量，目前股份总额和尚未解除限售的股份数量。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公司上市后进行过股份增发、回购注销及派发过股票股利或用资本公积金转增股本等导致公司股份变动情形的，还应说明方案实施时间及其对首次公开发行前已发行股份数量变动的影响。</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二、申请解除股份限售股东履行承诺情况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逐一说明本次申请解除股份限售的股东作出的各项承诺（包括法定承诺、股东在发行上市文件中作出的承诺、股东在公司收购和权益变动过程中作出的承诺以及股东在公司上市后追加的其他承诺等）的具体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（1）上市公告书中作出的承诺；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（2）招股说明书中作出的承诺（如招股说明书中作出的承诺与上市公告书中作出的承诺一致，可以不重复相关内容，仅声明与上市公告书中作出的承诺一致即可）；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（3）股东在公司收购和权益变动过程中作出的承诺（如股东在权益变动报告书、收购报告书、新股上市公告书中对原所持股份作出的限售承诺）；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（4）股东后续追加的承诺；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（5）法定承诺和其他承诺。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承诺变更情况（如适用）。应说明承诺变动的具体情况，包括但不限于承诺变更的主体、变更原因、变更时间、变更前后对比及已履行过的审批程序等。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2．说明本次申请解除股份限售的股东所作出各项承诺的履行进展，是否严格履行了作出的上述各项承诺，以及与本次解除限售股份对应承诺的完成情况。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3．说明本次申请解除股份限售的股东是否存在非经营性占用上市资金的情形，上市公司对其是否存在违规担保。</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三、本次解除限售股份的上市流通安排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1．本次解除限售股份的上市流通日期。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2．本次解除限售股份的数量及占公司股本总额的比例。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3．本次申请解除股份限售的股东人数。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股份解除限售及上市流通具体情况。公司应以表格形式逐一披露各股东持有的首次公开发行前已发行股份限售总数和本次解除限售的股份数量，并在“备注栏”对可能影响本次解除限售股份实际上市流通时间和数量的有关情况作出必要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关说明包括但不限于：（1）股东同时担任公司董事、监事或高级管理人员的，应说明担任的具体职务；（2）股东为公司前任董事、监事、高级管理人员且离职未满半年的，应说明曾经担任的具体职务及离职生效日期；（3）股东本次解除限售的股份处于质押、冻结状态的，应说明质押、冻结的股份数量。</w:t>
      </w:r>
    </w:p>
    <w:tbl>
      <w:tblPr>
        <w:tblStyle w:val="59"/>
        <w:tblW w:w="5000" w:type="pct"/>
        <w:tblInd w:w="0" w:type="dxa"/>
        <w:tblLayout w:type="autofit"/>
        <w:tblCellMar>
          <w:top w:w="0" w:type="dxa"/>
          <w:left w:w="108" w:type="dxa"/>
          <w:bottom w:w="0" w:type="dxa"/>
          <w:right w:w="108" w:type="dxa"/>
        </w:tblCellMar>
      </w:tblPr>
      <w:tblGrid>
        <w:gridCol w:w="1076"/>
        <w:gridCol w:w="1654"/>
        <w:gridCol w:w="2111"/>
        <w:gridCol w:w="2111"/>
        <w:gridCol w:w="2108"/>
      </w:tblGrid>
      <w:tr>
        <w:tblPrEx>
          <w:tblCellMar>
            <w:top w:w="0" w:type="dxa"/>
            <w:left w:w="108" w:type="dxa"/>
            <w:bottom w:w="0" w:type="dxa"/>
            <w:right w:w="108" w:type="dxa"/>
          </w:tblCellMar>
        </w:tblPrEx>
        <w:trPr>
          <w:trHeight w:val="748" w:hRule="atLeast"/>
        </w:trPr>
        <w:tc>
          <w:tcPr>
            <w:tcW w:w="5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b/>
                <w:sz w:val="24"/>
                <w:szCs w:val="24"/>
              </w:rPr>
            </w:pPr>
            <w:r>
              <w:rPr>
                <w:rFonts w:hint="eastAsia" w:ascii="仿宋" w:hAnsi="仿宋" w:eastAsia="仿宋"/>
                <w:b/>
                <w:sz w:val="24"/>
                <w:szCs w:val="24"/>
              </w:rPr>
              <w:t>序号</w:t>
            </w:r>
          </w:p>
        </w:tc>
        <w:tc>
          <w:tcPr>
            <w:tcW w:w="91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sz w:val="24"/>
                <w:szCs w:val="24"/>
              </w:rPr>
            </w:pPr>
            <w:r>
              <w:rPr>
                <w:rFonts w:hint="eastAsia" w:ascii="仿宋" w:hAnsi="仿宋" w:eastAsia="仿宋"/>
                <w:b/>
                <w:sz w:val="24"/>
                <w:szCs w:val="24"/>
              </w:rPr>
              <w:t>股东全称</w:t>
            </w:r>
          </w:p>
        </w:tc>
        <w:tc>
          <w:tcPr>
            <w:tcW w:w="11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4"/>
                <w:szCs w:val="24"/>
              </w:rPr>
            </w:pPr>
            <w:r>
              <w:rPr>
                <w:rFonts w:hint="eastAsia" w:ascii="仿宋" w:hAnsi="仿宋" w:eastAsia="仿宋"/>
                <w:b/>
                <w:sz w:val="24"/>
                <w:szCs w:val="24"/>
              </w:rPr>
              <w:t>所持限售股份</w:t>
            </w:r>
          </w:p>
          <w:p>
            <w:pPr>
              <w:widowControl/>
              <w:jc w:val="center"/>
              <w:rPr>
                <w:rFonts w:ascii="仿宋" w:hAnsi="仿宋" w:eastAsia="仿宋"/>
                <w:b/>
                <w:sz w:val="24"/>
                <w:szCs w:val="24"/>
              </w:rPr>
            </w:pPr>
            <w:r>
              <w:rPr>
                <w:rFonts w:hint="eastAsia" w:ascii="仿宋" w:hAnsi="仿宋" w:eastAsia="仿宋"/>
                <w:b/>
                <w:sz w:val="24"/>
                <w:szCs w:val="24"/>
              </w:rPr>
              <w:t>总数</w:t>
            </w:r>
          </w:p>
        </w:tc>
        <w:tc>
          <w:tcPr>
            <w:tcW w:w="11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4"/>
                <w:szCs w:val="24"/>
              </w:rPr>
            </w:pPr>
            <w:r>
              <w:rPr>
                <w:rFonts w:hint="eastAsia" w:ascii="仿宋" w:hAnsi="仿宋" w:eastAsia="仿宋"/>
                <w:b/>
                <w:sz w:val="24"/>
                <w:szCs w:val="24"/>
              </w:rPr>
              <w:t>本次解除限售</w:t>
            </w:r>
          </w:p>
          <w:p>
            <w:pPr>
              <w:widowControl/>
              <w:jc w:val="center"/>
              <w:rPr>
                <w:rFonts w:ascii="仿宋" w:hAnsi="仿宋" w:eastAsia="仿宋"/>
                <w:b/>
                <w:sz w:val="24"/>
                <w:szCs w:val="24"/>
              </w:rPr>
            </w:pPr>
            <w:r>
              <w:rPr>
                <w:rFonts w:hint="eastAsia" w:ascii="仿宋" w:hAnsi="仿宋" w:eastAsia="仿宋"/>
                <w:b/>
                <w:sz w:val="24"/>
                <w:szCs w:val="24"/>
              </w:rPr>
              <w:t>数量</w:t>
            </w:r>
          </w:p>
        </w:tc>
        <w:tc>
          <w:tcPr>
            <w:tcW w:w="11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sz w:val="24"/>
                <w:szCs w:val="24"/>
              </w:rPr>
            </w:pPr>
            <w:r>
              <w:rPr>
                <w:rFonts w:hint="eastAsia" w:ascii="仿宋" w:hAnsi="仿宋" w:eastAsia="仿宋"/>
                <w:b/>
                <w:sz w:val="24"/>
                <w:szCs w:val="24"/>
              </w:rPr>
              <w:t>备注</w:t>
            </w:r>
          </w:p>
        </w:tc>
      </w:tr>
      <w:tr>
        <w:tblPrEx>
          <w:tblCellMar>
            <w:top w:w="0" w:type="dxa"/>
            <w:left w:w="108" w:type="dxa"/>
            <w:bottom w:w="0" w:type="dxa"/>
            <w:right w:w="108" w:type="dxa"/>
          </w:tblCellMar>
        </w:tblPrEx>
        <w:trPr>
          <w:trHeight w:val="285" w:hRule="atLeast"/>
        </w:trPr>
        <w:tc>
          <w:tcPr>
            <w:tcW w:w="59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1</w:t>
            </w:r>
          </w:p>
        </w:tc>
        <w:tc>
          <w:tcPr>
            <w:tcW w:w="913" w:type="pct"/>
            <w:tcBorders>
              <w:top w:val="nil"/>
              <w:left w:val="nil"/>
              <w:bottom w:val="single" w:color="auto" w:sz="4" w:space="0"/>
              <w:right w:val="single" w:color="auto" w:sz="4" w:space="0"/>
            </w:tcBorders>
            <w:noWrap/>
            <w:vAlign w:val="center"/>
          </w:tcPr>
          <w:p>
            <w:pPr>
              <w:widowControl/>
              <w:jc w:val="center"/>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r>
      <w:tr>
        <w:tblPrEx>
          <w:tblCellMar>
            <w:top w:w="0" w:type="dxa"/>
            <w:left w:w="108" w:type="dxa"/>
            <w:bottom w:w="0" w:type="dxa"/>
            <w:right w:w="108" w:type="dxa"/>
          </w:tblCellMar>
        </w:tblPrEx>
        <w:trPr>
          <w:trHeight w:val="285" w:hRule="atLeast"/>
        </w:trPr>
        <w:tc>
          <w:tcPr>
            <w:tcW w:w="59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2</w:t>
            </w:r>
          </w:p>
        </w:tc>
        <w:tc>
          <w:tcPr>
            <w:tcW w:w="913" w:type="pct"/>
            <w:tcBorders>
              <w:top w:val="nil"/>
              <w:left w:val="nil"/>
              <w:bottom w:val="single" w:color="auto" w:sz="4" w:space="0"/>
              <w:right w:val="single" w:color="auto" w:sz="4" w:space="0"/>
            </w:tcBorders>
            <w:noWrap/>
            <w:vAlign w:val="center"/>
          </w:tcPr>
          <w:p>
            <w:pPr>
              <w:widowControl/>
              <w:jc w:val="center"/>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r>
      <w:tr>
        <w:tblPrEx>
          <w:tblCellMar>
            <w:top w:w="0" w:type="dxa"/>
            <w:left w:w="108" w:type="dxa"/>
            <w:bottom w:w="0" w:type="dxa"/>
            <w:right w:w="108" w:type="dxa"/>
          </w:tblCellMar>
        </w:tblPrEx>
        <w:trPr>
          <w:trHeight w:val="285" w:hRule="atLeast"/>
        </w:trPr>
        <w:tc>
          <w:tcPr>
            <w:tcW w:w="594"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w:t>
            </w:r>
          </w:p>
        </w:tc>
        <w:tc>
          <w:tcPr>
            <w:tcW w:w="913" w:type="pct"/>
            <w:tcBorders>
              <w:top w:val="nil"/>
              <w:left w:val="nil"/>
              <w:bottom w:val="single" w:color="auto" w:sz="4" w:space="0"/>
              <w:right w:val="single" w:color="auto" w:sz="4" w:space="0"/>
            </w:tcBorders>
            <w:noWrap/>
            <w:vAlign w:val="center"/>
          </w:tcPr>
          <w:p>
            <w:pPr>
              <w:widowControl/>
              <w:jc w:val="center"/>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r>
      <w:tr>
        <w:tblPrEx>
          <w:tblCellMar>
            <w:top w:w="0" w:type="dxa"/>
            <w:left w:w="108" w:type="dxa"/>
            <w:bottom w:w="0" w:type="dxa"/>
            <w:right w:w="108" w:type="dxa"/>
          </w:tblCellMar>
        </w:tblPrEx>
        <w:trPr>
          <w:trHeight w:val="285" w:hRule="atLeast"/>
        </w:trPr>
        <w:tc>
          <w:tcPr>
            <w:tcW w:w="1506" w:type="pct"/>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sz w:val="24"/>
                <w:szCs w:val="24"/>
              </w:rPr>
            </w:pPr>
            <w:r>
              <w:rPr>
                <w:rFonts w:hint="eastAsia" w:ascii="仿宋" w:hAnsi="仿宋" w:eastAsia="仿宋"/>
                <w:sz w:val="24"/>
                <w:szCs w:val="24"/>
              </w:rPr>
              <w:t>合  计</w:t>
            </w: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c>
          <w:tcPr>
            <w:tcW w:w="1165" w:type="pct"/>
            <w:tcBorders>
              <w:top w:val="nil"/>
              <w:left w:val="nil"/>
              <w:bottom w:val="single" w:color="auto" w:sz="4" w:space="0"/>
              <w:right w:val="single" w:color="auto" w:sz="4" w:space="0"/>
            </w:tcBorders>
            <w:vAlign w:val="center"/>
          </w:tcPr>
          <w:p>
            <w:pPr>
              <w:widowControl/>
              <w:rPr>
                <w:rFonts w:ascii="仿宋" w:hAnsi="仿宋" w:eastAsia="仿宋"/>
                <w:sz w:val="24"/>
                <w:szCs w:val="24"/>
              </w:rPr>
            </w:pP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5．间接持有上市公司股份的法人或个人对其间接持有的股份作出限售承诺的，公司董事会应承诺将监督相关股东在出售股份时严格遵守承诺，并在定期报告中持续披露股东履行承诺情况。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6．其他需说明的事项。</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四、保荐人的核查意见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应说明保荐人对股东本次申请解除限售股份的数量、上市流通时间是否符合法律法规、有关规则和股东承诺，相关信息披露是否真实、准确、完整进行核查所出具的结论性意见。</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sz w:val="32"/>
          <w:szCs w:val="32"/>
        </w:rPr>
        <w:t>保荐人对有关事项存在异议的，应详细披露异议事项有关内容。</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1．限售股份上市流通申请书；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2．限售股份上市流通申请表；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3．股份结构表和限售股份明细表；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4．保荐人的核查意见（如适用）；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5．深交所要求的其他文件。</w:t>
      </w:r>
    </w:p>
    <w:p>
      <w:pPr>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8" w:name="_Toc60758270"/>
      <w:bookmarkStart w:id="9" w:name="_Toc91607625"/>
      <w:bookmarkStart w:id="10" w:name="_Toc17469"/>
      <w:bookmarkStart w:id="11" w:name="_Toc138173211"/>
      <w:bookmarkStart w:id="12" w:name="_Toc91782424"/>
      <w:bookmarkStart w:id="13" w:name="_Toc40795929"/>
      <w:bookmarkStart w:id="14" w:name="_Toc91781143"/>
      <w:bookmarkStart w:id="15" w:name="_Toc40813200"/>
      <w:r>
        <w:rPr>
          <w:rFonts w:hint="eastAsia" w:ascii="方正小标宋简体" w:hAnsi="仿宋" w:eastAsia="方正小标宋简体"/>
          <w:kern w:val="44"/>
          <w:sz w:val="44"/>
          <w:szCs w:val="44"/>
        </w:rPr>
        <w:t>股份变动类第2号　上市公司新增股份</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变动报告及上市公告书公告格式</w:t>
      </w:r>
      <w:bookmarkEnd w:id="8"/>
      <w:bookmarkEnd w:id="9"/>
      <w:bookmarkEnd w:id="10"/>
      <w:bookmarkEnd w:id="11"/>
      <w:bookmarkEnd w:id="12"/>
      <w:bookmarkEnd w:id="13"/>
      <w:bookmarkEnd w:id="14"/>
      <w:bookmarkEnd w:id="15"/>
    </w:p>
    <w:p>
      <w:pPr>
        <w:autoSpaceDE w:val="0"/>
        <w:autoSpaceDN w:val="0"/>
        <w:adjustRightInd w:val="0"/>
        <w:snapToGrid w:val="0"/>
        <w:spacing w:line="560" w:lineRule="exact"/>
        <w:rPr>
          <w:rFonts w:ascii="仿宋" w:hAnsi="仿宋" w:eastAsia="仿宋"/>
          <w:b/>
          <w:sz w:val="32"/>
          <w:szCs w:val="30"/>
        </w:rPr>
      </w:pPr>
    </w:p>
    <w:p>
      <w:pPr>
        <w:autoSpaceDE w:val="0"/>
        <w:autoSpaceDN w:val="0"/>
        <w:adjustRightInd w:val="0"/>
        <w:snapToGrid w:val="0"/>
        <w:spacing w:line="560" w:lineRule="exact"/>
        <w:ind w:firstLine="643" w:firstLineChars="200"/>
        <w:rPr>
          <w:rFonts w:ascii="仿宋" w:hAnsi="仿宋" w:eastAsia="仿宋"/>
          <w:b/>
          <w:sz w:val="32"/>
          <w:szCs w:val="30"/>
        </w:rPr>
      </w:pPr>
      <w:r>
        <w:rPr>
          <w:rFonts w:hint="eastAsia" w:ascii="仿宋" w:hAnsi="仿宋" w:eastAsia="仿宋"/>
          <w:b/>
          <w:sz w:val="32"/>
          <w:szCs w:val="30"/>
        </w:rPr>
        <w:t>适用情形：</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1．本格式适用于上市公司完成增发、配股和向特定对象发行股票时披露股份变动和新增股份上市有关情况。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向特定对象发行股票的上市公司披露《新增股份变动报告及上市公告书》时，除遵守本格式外，还应遵守《公开发行证券的公司信息披露内容与格式准则第25号——上市公司非公开发行股票预案和发行情况报告书》中有关《发行情况报告书》的披露要求。</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3．上市公司向特定对象发行股票的，尽管按照《上市公司证券发行管理办法》等规定存在一定期限的禁售期，但在披露上市公告书时，仍应将股本发生变动的基准日设定为上市首日。</w: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XXXXXX股份有限公司新增股份变动报告及上市公告书</w:t>
      </w:r>
    </w:p>
    <w:p>
      <w:pPr>
        <w:adjustRightInd w:val="0"/>
        <w:spacing w:line="560" w:lineRule="exact"/>
        <w:ind w:firstLine="720"/>
        <w:rPr>
          <w:rFonts w:ascii="仿宋" w:hAnsi="仿宋" w:eastAsia="仿宋"/>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111125</wp:posOffset>
                </wp:positionV>
                <wp:extent cx="5915025" cy="1628775"/>
                <wp:effectExtent l="0" t="0" r="28575" b="28575"/>
                <wp:wrapNone/>
                <wp:docPr id="254" name="矩形 25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75pt;height:128.25pt;width:465.75pt;mso-position-horizontal:center;mso-position-horizontal-relative:margin;z-index:251660288;mso-width-relative:page;mso-height-relative:page;" fillcolor="#FFFFFF" filled="t" stroked="t" coordsize="21600,21600" o:gfxdata="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FuES1gAAAAcBAAAPAAAAAAAAAAEAIAAAACIAAABkcnMvZG93bnJl&#10;di54bWxQSwECFAAUAAAACACHTuJAIjjoS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720"/>
        <w:rPr>
          <w:rFonts w:ascii="仿宋" w:hAnsi="仿宋" w:eastAsia="仿宋"/>
          <w:sz w:val="32"/>
          <w:szCs w:val="32"/>
        </w:rPr>
      </w:pPr>
    </w:p>
    <w:p>
      <w:pPr>
        <w:adjustRightInd w:val="0"/>
        <w:spacing w:line="560" w:lineRule="exact"/>
        <w:ind w:firstLine="720"/>
        <w:rPr>
          <w:rFonts w:ascii="仿宋" w:hAnsi="仿宋" w:eastAsia="仿宋"/>
          <w:sz w:val="32"/>
          <w:szCs w:val="32"/>
        </w:rPr>
      </w:pPr>
    </w:p>
    <w:p>
      <w:pPr>
        <w:adjustRightInd w:val="0"/>
        <w:spacing w:line="560" w:lineRule="exact"/>
        <w:ind w:firstLine="720"/>
        <w:rPr>
          <w:rFonts w:ascii="仿宋" w:hAnsi="仿宋" w:eastAsia="仿宋"/>
          <w:sz w:val="32"/>
          <w:szCs w:val="32"/>
        </w:rPr>
      </w:pPr>
    </w:p>
    <w:p>
      <w:pPr>
        <w:adjustRightInd w:val="0"/>
        <w:spacing w:line="560" w:lineRule="exact"/>
        <w:ind w:firstLine="643" w:firstLineChars="200"/>
        <w:rPr>
          <w:rFonts w:ascii="仿宋" w:hAnsi="仿宋" w:eastAsia="仿宋"/>
          <w:b/>
          <w:sz w:val="32"/>
          <w:szCs w:val="32"/>
        </w:rPr>
      </w:pPr>
    </w:p>
    <w:p>
      <w:pPr>
        <w:adjustRightInd w:val="0"/>
        <w:spacing w:line="560" w:lineRule="exact"/>
        <w:ind w:firstLine="643" w:firstLineChars="200"/>
        <w:rPr>
          <w:rFonts w:ascii="仿宋" w:hAnsi="仿宋" w:eastAsia="仿宋"/>
          <w:sz w:val="32"/>
          <w:szCs w:val="32"/>
        </w:rPr>
      </w:pPr>
      <w:r>
        <w:rPr>
          <w:rFonts w:hint="eastAsia" w:ascii="仿宋" w:hAnsi="仿宋" w:eastAsia="仿宋"/>
          <w:b/>
          <w:sz w:val="32"/>
          <w:szCs w:val="32"/>
        </w:rPr>
        <w:t>特别提示：</w:t>
      </w:r>
      <w:r>
        <w:rPr>
          <w:rFonts w:hint="eastAsia" w:ascii="仿宋" w:hAnsi="仿宋" w:eastAsia="仿宋"/>
          <w:sz w:val="32"/>
          <w:szCs w:val="32"/>
        </w:rPr>
        <w:t>本次发行新增股份数量、发行价格和上市首日。</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一、公司基本情况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说明公司名称、注册地址、办公地址、发行前注册资本、法定代表人、所属行业、主营业务、上市地点、董事会秘书和联系方式等情况。</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二、本次新增股份发行情况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1．发行类型：说明本次发行是向不特定对象募集股份（以下简称增发）、向原股东配售股份（以下简称配股）或向特定对象发行股票。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2．本次发行履行的相关程序和发行过程简述：包括但不限于董事会和股东大会表决的时间，本次发行上市申请的审核情况、取得证监会同意注册批复的时间及文号、发行对象和发行价格的确定过程等。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3．发行时间。</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4．发行方式。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5．发行数量。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6．发行价格：应说明定价方法和最终的发行价格。公司向特定对象发行股票的，还应披露发行价格与发行底价、发行日前20个交易日均价的比率。</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7．募集资金总额（含发行费用）。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8．发行费用总额及明细构成。</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9．募集资金净额（扣除发行费用）。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10．资产过户和债务转移情况（适用以非现金资产认购股份）。</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11．会计师事务所对本次募集资金到位的验证情况。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12．募集资金专用账户设立和三方监管协议签署情况。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13．新增股份登记托管情况：应说明公司在中国结算公司深圳分公司（以下简称结算公司）办理完毕本次发行新增股份有关登记托管手续的日期。</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14．发行对象认购股份情况（如适用）：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控股股东和其他股东事先公开承诺参与认购本次发行的股份的，应说明上述股东是否严格遵守了认购股份承诺。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公司向特定对象发行股票的，应披露：</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（1）发行对象基本情况。发行对象为法人的，应披露各发行对象的名称、企业性质、注册地、注册资本、主要办公地点、法定代表人、主要经营范围；发行对象为自然人的，应披露其姓名、处所；</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发行对象与公司之间的关系及交易情况，包括各发行对象与公司、公司控股股东或者实际控制人、公司董事、监事和高级管理人员及公司主要股东（包括但不限于5%以上股东、前10大股东）之间是否存在一致行动关系、关联关系或其他关系，该发行对象及其关联方与公司最近一年发生重大交易情况（按照偶发性和经常性分别列示），未来交易的有关安排（如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（3）各发行对象申购报价情况、认购股份数量及限售期；</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发行对象的认购资金来源。披露认购资金来源时应区分发行对象的自有资金、银行贷款、资产管理计划、信托计划等各类合法筹资渠道进行披露，并声明发行对象认购资金是否直接或间接来源于上市公司及其关联方。其中，发行对象在本次发行后成为公司5%以上股东、第一大股东、控股股东、实际控制人及其一致行动人的，本次认购资金来源披露至相关主体的自有资金、银行贷款或者公募性质的资金；发行对象在本次发行后虽不是公司5%以上股东、第一大股东、控股股东、实际控制人及其一致行动人，但认购资金直接或者间接来源于公司董事、监事和高级管理人员及其一致行动人的，与董事、监事和高级管理人员及其一致行动人相关的认购资金来源披露至相关主体的自有资金、银行贷款或者公募性质的资金。在披露资金来源时，如一对多、集合资产管理方式的产品等因资金来源涉及主体较为分散的，则披露前十大委托人及其一致行动人的认购金额、占比及来源，并描述分散程度、其他委托人的数量及各资金来源主体之间是否构成一致行动关系等。财务顾问或保荐人应当对上述发行对象认购资金来源进行核查并发表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15．保荐人关于本次发行过程和发行对象合规性的结论性意见（适用向特定对象发行股票）。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16．律师关于本次发行过程和发行对象合规性的结论性意见（适用向特定对象发行股票）。</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三、本次新增股份上市情况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1．新增股份上市批准情况；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2．新增股份的证券简称、证券代码和上市地点；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3．新增股份的上市时间；</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4．新增股份的限售安排。投资者对所认购的股份作出股份限售承诺的，应说明股份限售承诺的具体内容。股份限售期应有明确的起止时间。</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四、本次股份变动情况及其影响</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1．按照《公开发行证券的公司信息披露内容与格式准则第5号——公司股份变动报告的内容与格式》中的要求，披露与本次发行相关的《股份变动情况表》和发行前后前10名股东持股情况表等表格。</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2．公司董事、监事、高级管理人员发行前后持股变动情况。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3．股份变动对主要财务指标的影响。应披露以本次发行后股本全面摊薄计算的最近一年和最近一期归属于上市公司股东的每股收益、归属于上市公司股东的每股净资产。</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4．公司向特定对象发行股票的，应披露最近三年又一期的主要财务指标以及上述期间有关财务状况、盈利能力及现金流量等情况的管理层讨论与分析。</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五、本次新增股份发行上市相关机构</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应披露本次发行上市相关机构（包括保荐人、承销团成员、审计机构、律师事务所、资产评估机构等）的基本情况，包括名称、办公地址、法定代表人、经办人员、联系电话、传真等。</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六、保荐人（财务顾问）的上市推荐意见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1．保荐（财务顾问）协议签署和指定保荐代表人（财务顾问主办人）情况。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2．保荐人（财务顾问）推荐公司本次发行新增股份上市的结论性意见。</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七、其他重要事项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1．应说明自募集说明书披露日至本上市公告书披露前是否发生可能对公司有较大影响的其他重要事项。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2．其他需说明的事项。</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八、备查文件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1．上市申请书；</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2．保荐协议或财务顾问协议；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3．保荐代表人声明与承诺；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4．保荐人出具的上市保荐书或财务顾问报告；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5．保荐人出具的发行保荐书和尽职调查报告；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6．律师出具的法律意见书和律师工作报告；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7．保荐人关于本次发行过程和认购对象合规性的报告（适用向特定对象发行股票）；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8．律师关于本次发行过程和认购对象合规性的报告（适用向特定对象发行股票）；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9．发行完成后会计师事务所出具的验资报告；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10．结算公司对新增股份已登记托管的书面确认文件； </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11．投资者出具的股份限售承诺（如有）；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12．深交所要求的其他文件。</w:t>
      </w:r>
    </w:p>
    <w:p>
      <w:pPr>
        <w:adjustRightInd w:val="0"/>
        <w:spacing w:line="560" w:lineRule="exact"/>
        <w:ind w:firstLine="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adjustRightInd w:val="0"/>
        <w:spacing w:line="560" w:lineRule="exact"/>
        <w:ind w:firstLine="640" w:firstLineChars="200"/>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16" w:name="_Toc40795942"/>
      <w:bookmarkStart w:id="17" w:name="_Toc28298"/>
      <w:bookmarkStart w:id="18" w:name="_Toc91781144"/>
      <w:bookmarkStart w:id="19" w:name="_Toc60758283"/>
      <w:bookmarkStart w:id="20" w:name="_Toc40813213"/>
      <w:bookmarkStart w:id="21" w:name="_Toc138173212"/>
      <w:bookmarkStart w:id="22" w:name="_Toc91782425"/>
      <w:bookmarkStart w:id="23" w:name="_Toc91607626"/>
      <w:r>
        <w:rPr>
          <w:rFonts w:hint="eastAsia" w:ascii="方正小标宋简体" w:hAnsi="仿宋" w:eastAsia="方正小标宋简体"/>
          <w:kern w:val="44"/>
          <w:sz w:val="44"/>
          <w:szCs w:val="44"/>
        </w:rPr>
        <w:t>股份变动类第3号　上市公司股改限售股份</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上市</w:t>
      </w:r>
      <w:bookmarkEnd w:id="16"/>
      <w:r>
        <w:rPr>
          <w:rFonts w:hint="eastAsia" w:ascii="方正小标宋简体" w:hAnsi="仿宋" w:eastAsia="方正小标宋简体"/>
          <w:kern w:val="44"/>
          <w:sz w:val="44"/>
          <w:szCs w:val="44"/>
        </w:rPr>
        <w:t>流通公告格式</w:t>
      </w:r>
      <w:bookmarkEnd w:id="17"/>
      <w:bookmarkEnd w:id="18"/>
      <w:bookmarkEnd w:id="19"/>
      <w:bookmarkEnd w:id="20"/>
      <w:bookmarkEnd w:id="21"/>
      <w:bookmarkEnd w:id="22"/>
      <w:bookmarkEnd w:id="23"/>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XXXXXX股份有限公司股改限售股份上市流通公告</w:t>
      </w:r>
    </w:p>
    <w:p>
      <w:pPr>
        <w:widowControl/>
        <w:adjustRightInd w:val="0"/>
        <w:spacing w:line="560" w:lineRule="exact"/>
        <w:rPr>
          <w:rFonts w:ascii="仿宋" w:hAnsi="仿宋" w:eastAsia="仿宋" w:cs="宋体"/>
          <w:kern w:val="0"/>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139700</wp:posOffset>
                </wp:positionV>
                <wp:extent cx="5915025" cy="1628775"/>
                <wp:effectExtent l="0" t="0" r="28575" b="28575"/>
                <wp:wrapNone/>
                <wp:docPr id="253" name="矩形 253"/>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pt;height:128.25pt;width:465.75pt;mso-position-horizontal:center;mso-position-horizontal-relative:margin;z-index:251661312;mso-width-relative:page;mso-height-relative:page;" fillcolor="#FFFFFF" filled="t" stroked="t" coordsize="21600,21600" o:gfxdata="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10U1gAAAAcBAAAPAAAAAAAAAAEAIAAAACIAAABkcnMvZG93bnJl&#10;di54bWxQSwECFAAUAAAACACHTuJAf7tEh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adjustRightInd w:val="0"/>
        <w:spacing w:line="560" w:lineRule="exact"/>
        <w:rPr>
          <w:rFonts w:ascii="仿宋" w:hAnsi="仿宋" w:eastAsia="仿宋" w:cs="宋体"/>
          <w:kern w:val="0"/>
          <w:sz w:val="32"/>
          <w:szCs w:val="32"/>
        </w:rPr>
      </w:pPr>
    </w:p>
    <w:p>
      <w:pPr>
        <w:widowControl/>
        <w:adjustRightInd w:val="0"/>
        <w:spacing w:line="560" w:lineRule="exact"/>
        <w:rPr>
          <w:rFonts w:ascii="仿宋" w:hAnsi="仿宋" w:eastAsia="仿宋" w:cs="宋体"/>
          <w:kern w:val="0"/>
          <w:sz w:val="32"/>
          <w:szCs w:val="32"/>
        </w:rPr>
      </w:pPr>
    </w:p>
    <w:p>
      <w:pPr>
        <w:widowControl/>
        <w:adjustRightInd w:val="0"/>
        <w:spacing w:line="560" w:lineRule="exact"/>
        <w:ind w:firstLine="551"/>
        <w:rPr>
          <w:rFonts w:ascii="仿宋" w:hAnsi="仿宋" w:eastAsia="仿宋"/>
          <w:b/>
          <w:kern w:val="0"/>
          <w:sz w:val="32"/>
          <w:szCs w:val="32"/>
        </w:rPr>
      </w:pPr>
    </w:p>
    <w:p>
      <w:pPr>
        <w:widowControl/>
        <w:adjustRightInd w:val="0"/>
        <w:spacing w:line="560" w:lineRule="exact"/>
        <w:ind w:firstLine="643" w:firstLineChars="200"/>
        <w:rPr>
          <w:rFonts w:ascii="仿宋" w:hAnsi="仿宋" w:eastAsia="仿宋"/>
          <w:b/>
          <w:kern w:val="0"/>
          <w:sz w:val="32"/>
          <w:szCs w:val="32"/>
        </w:rPr>
      </w:pPr>
    </w:p>
    <w:p>
      <w:pPr>
        <w:widowControl/>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特别提示：</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1．本次限售股份实际可上市流通数量和占总股本比例（单位：股）；</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2．本次限售股份可上市流通日期。</w:t>
      </w:r>
    </w:p>
    <w:p>
      <w:pPr>
        <w:widowControl/>
        <w:adjustRightInd w:val="0"/>
        <w:spacing w:line="560" w:lineRule="exact"/>
        <w:ind w:firstLine="640" w:firstLineChars="200"/>
        <w:rPr>
          <w:rFonts w:ascii="仿宋" w:hAnsi="仿宋" w:eastAsia="仿宋"/>
          <w:kern w:val="0"/>
          <w:sz w:val="32"/>
          <w:szCs w:val="32"/>
        </w:rPr>
      </w:pPr>
    </w:p>
    <w:p>
      <w:pPr>
        <w:widowControl/>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一、股权分置改革方案概述</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1．股权分置改革对价方案概述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2．通过股权分置改革方案的股东大会日期、届次</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3．股权分置改革方案实施日期</w:t>
      </w:r>
    </w:p>
    <w:p>
      <w:pPr>
        <w:widowControl/>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 xml:space="preserve">二、本次可上市流通限售股份持有人作出的各项承诺及履行情况 </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1．说明本次申请解除股份限售的股东所作出各项承诺的履行进展，以及与本次解除限售股份对应承诺的完成情况。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2203"/>
        <w:gridCol w:w="277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2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限售股份</w:t>
            </w:r>
          </w:p>
          <w:p>
            <w:pPr>
              <w:jc w:val="center"/>
              <w:rPr>
                <w:rFonts w:ascii="仿宋" w:hAnsi="仿宋" w:eastAsia="仿宋"/>
                <w:b/>
                <w:sz w:val="24"/>
                <w:szCs w:val="24"/>
              </w:rPr>
            </w:pPr>
            <w:r>
              <w:rPr>
                <w:rFonts w:hint="eastAsia" w:ascii="仿宋" w:hAnsi="仿宋" w:eastAsia="仿宋"/>
                <w:b/>
                <w:sz w:val="24"/>
                <w:szCs w:val="24"/>
              </w:rPr>
              <w:t>持有人名称</w:t>
            </w: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承诺及追加</w:t>
            </w:r>
          </w:p>
          <w:p>
            <w:pPr>
              <w:jc w:val="center"/>
              <w:rPr>
                <w:rFonts w:ascii="仿宋" w:hAnsi="仿宋" w:eastAsia="仿宋"/>
                <w:b/>
                <w:sz w:val="24"/>
                <w:szCs w:val="24"/>
              </w:rPr>
            </w:pPr>
            <w:r>
              <w:rPr>
                <w:rFonts w:hint="eastAsia" w:ascii="仿宋" w:hAnsi="仿宋" w:eastAsia="仿宋"/>
                <w:b/>
                <w:sz w:val="24"/>
                <w:szCs w:val="24"/>
              </w:rPr>
              <w:t>承诺内容</w:t>
            </w:r>
          </w:p>
        </w:tc>
        <w:tc>
          <w:tcPr>
            <w:tcW w:w="15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承诺及追加承诺的履行情况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w:t>
            </w:r>
          </w:p>
        </w:tc>
        <w:tc>
          <w:tcPr>
            <w:tcW w:w="1216" w:type="pct"/>
            <w:tcBorders>
              <w:top w:val="single" w:color="auto" w:sz="4" w:space="0"/>
              <w:left w:val="single" w:color="auto" w:sz="4" w:space="0"/>
              <w:bottom w:val="single" w:color="auto" w:sz="4" w:space="0"/>
              <w:right w:val="single" w:color="auto" w:sz="4" w:space="0"/>
            </w:tcBorders>
            <w:vAlign w:val="center"/>
          </w:tcPr>
          <w:p>
            <w:pPr>
              <w:ind w:firstLine="140"/>
              <w:rPr>
                <w:rFonts w:ascii="仿宋" w:hAnsi="仿宋" w:eastAsia="仿宋"/>
                <w:sz w:val="24"/>
                <w:szCs w:val="24"/>
              </w:rPr>
            </w:pPr>
          </w:p>
        </w:tc>
        <w:tc>
          <w:tcPr>
            <w:tcW w:w="15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5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w:t>
            </w:r>
          </w:p>
        </w:tc>
        <w:tc>
          <w:tcPr>
            <w:tcW w:w="12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5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p>
        </w:tc>
        <w:tc>
          <w:tcPr>
            <w:tcW w:w="15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上表中承诺内容应该包括原非流通股股东在股权分置改革方案中所作出的承诺及其后作出的所有承诺。</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2．说明本次申请解除股份限售的股东是否存在非经营性占用上市公司资金的情形，上市公司对其是否存在违规担保等侵占上市公司利益的行为。</w:t>
      </w:r>
    </w:p>
    <w:p>
      <w:pPr>
        <w:widowControl/>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三、本次限售股份可上市流通安排</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1．本次限售股份可上市流通日期；</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2．本次可上市流通股份的总数（单位：股），占公司股份总数的百分比；</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3．本次限售股份可上市流通情况如下：</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1290"/>
        <w:gridCol w:w="1290"/>
        <w:gridCol w:w="1290"/>
        <w:gridCol w:w="1595"/>
        <w:gridCol w:w="133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限售股份持有人名称</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持有限售股份数（股）</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本次可上市流通股数（股）</w:t>
            </w:r>
          </w:p>
        </w:tc>
        <w:tc>
          <w:tcPr>
            <w:tcW w:w="88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本次可上市流通股数占公司总股本的比例（％）</w:t>
            </w:r>
          </w:p>
        </w:tc>
        <w:tc>
          <w:tcPr>
            <w:tcW w:w="73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冻结/标记的股份数量（股）</w:t>
            </w:r>
          </w:p>
        </w:tc>
        <w:tc>
          <w:tcPr>
            <w:tcW w:w="7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kern w:val="0"/>
                <w:sz w:val="24"/>
                <w:szCs w:val="24"/>
              </w:rPr>
              <w:t>2</w:t>
            </w:r>
          </w:p>
        </w:tc>
        <w:tc>
          <w:tcPr>
            <w:tcW w:w="71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szCs w:val="24"/>
              </w:rPr>
            </w:pPr>
            <w:r>
              <w:rPr>
                <w:rFonts w:hint="eastAsia" w:ascii="仿宋" w:hAnsi="仿宋" w:eastAsia="仿宋"/>
                <w:sz w:val="24"/>
                <w:szCs w:val="24"/>
              </w:rPr>
              <w:t>合  计</w:t>
            </w: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1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3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bl>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其中：冻结/标记的股份数量（股）指该股东所持股份中冻结/标记股份的总数量，包括冻结/标记的有限售条件股份及无限售条件股份之和。</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注1：限售股份持有人限售股份上市流通是否存在其他限制，如最低减持价、限售股份被抵押登记、高管持股等原因导致该限售股份上市流通受到限制。</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注2：限售股份如果存在还未履行完毕的承诺，应保证本次限售股份上市流通不会影响其承诺的履行，并提出相应措施。</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注3：其他需要说明的事项，包括但不限于：（1）股东同时担任公司董事、监事或高级管理人员的，应说明担任的具体职务；（2）股东为公司前任董事、监事、高级管理人员且离职未满半年的，应说明曾经担任的具体职务及离职生效日期；（3）股东本次解除限售的股份处于质押冻结状态的，应说明质押冻结的股份数量；（4）垫付对价及偿还（或垫付方同意解除限售）情况的说明（如适用）。</w:t>
      </w:r>
    </w:p>
    <w:p>
      <w:pPr>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四、股本结构变化和股东持股变化情况</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1．本次解除限售前后的股本结构如下：</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1082"/>
        <w:gridCol w:w="1085"/>
        <w:gridCol w:w="897"/>
        <w:gridCol w:w="94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股份类型</w:t>
            </w:r>
          </w:p>
        </w:tc>
        <w:tc>
          <w:tcPr>
            <w:tcW w:w="11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本次限售股份上市流通前</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w:t>
            </w:r>
          </w:p>
          <w:p>
            <w:pPr>
              <w:jc w:val="center"/>
              <w:rPr>
                <w:rFonts w:ascii="仿宋" w:hAnsi="仿宋" w:eastAsia="仿宋"/>
                <w:b/>
                <w:sz w:val="24"/>
                <w:szCs w:val="24"/>
              </w:rPr>
            </w:pPr>
            <w:r>
              <w:rPr>
                <w:rFonts w:hint="eastAsia" w:ascii="仿宋" w:hAnsi="仿宋" w:eastAsia="仿宋"/>
                <w:b/>
                <w:sz w:val="24"/>
                <w:szCs w:val="24"/>
              </w:rPr>
              <w:t>变动数</w:t>
            </w:r>
          </w:p>
        </w:tc>
        <w:tc>
          <w:tcPr>
            <w:tcW w:w="118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本次限售股份上市流通后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股数</w:t>
            </w:r>
          </w:p>
        </w:tc>
        <w:tc>
          <w:tcPr>
            <w:tcW w:w="59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比例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股数</w:t>
            </w: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一、有限售条件的流通股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1．国家持股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2．国有法人持股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3．境内一般法人持股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4．境内自然人持股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5．境外法人持股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6．境外自然人持股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7．内部职工股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8．高管股份</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9．机构投资者配售股份</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有限售条件的流通股合计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二、无限售条件的流通股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b/>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1．人民币普通股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2．境内上市的外资股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3．境外上市的外资股</w:t>
            </w:r>
          </w:p>
        </w:tc>
        <w:tc>
          <w:tcPr>
            <w:tcW w:w="59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4．其他</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无限售条件的流通股合计</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三、股份总数</w:t>
            </w:r>
          </w:p>
        </w:tc>
        <w:tc>
          <w:tcPr>
            <w:tcW w:w="597"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598"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495" w:type="pct"/>
            <w:tcBorders>
              <w:top w:val="single" w:color="auto" w:sz="4" w:space="0"/>
              <w:left w:val="single" w:color="auto" w:sz="4" w:space="0"/>
              <w:bottom w:val="single" w:color="auto" w:sz="4" w:space="0"/>
              <w:right w:val="single" w:color="auto" w:sz="4" w:space="0"/>
            </w:tcBorders>
          </w:tcPr>
          <w:p>
            <w:pPr>
              <w:ind w:right="105"/>
              <w:rPr>
                <w:rFonts w:ascii="仿宋" w:hAnsi="仿宋" w:eastAsia="仿宋"/>
                <w:b/>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ind w:right="105"/>
              <w:rPr>
                <w:rFonts w:ascii="仿宋" w:hAnsi="仿宋" w:eastAsia="仿宋"/>
                <w:b/>
                <w:sz w:val="24"/>
                <w:szCs w:val="24"/>
              </w:rPr>
            </w:pPr>
          </w:p>
        </w:tc>
        <w:tc>
          <w:tcPr>
            <w:tcW w:w="6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szCs w:val="24"/>
              </w:rPr>
            </w:pPr>
          </w:p>
        </w:tc>
      </w:tr>
    </w:tbl>
    <w:p>
      <w:pPr>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五、股东持股变化情况及历次限售情况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1．本次解除限售股东自公司股改实施后至今持股变化情况：</w:t>
      </w:r>
    </w:p>
    <w:p>
      <w:pPr>
        <w:widowControl/>
        <w:spacing w:line="560" w:lineRule="exact"/>
        <w:ind w:firstLine="640" w:firstLineChars="200"/>
        <w:rPr>
          <w:rFonts w:ascii="仿宋" w:hAnsi="仿宋" w:eastAsia="仿宋"/>
          <w:kern w:val="0"/>
          <w:sz w:val="32"/>
          <w:szCs w:val="32"/>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128"/>
        <w:gridCol w:w="1044"/>
        <w:gridCol w:w="926"/>
        <w:gridCol w:w="1044"/>
        <w:gridCol w:w="937"/>
        <w:gridCol w:w="1044"/>
        <w:gridCol w:w="926"/>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62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限售股份持有人名称</w:t>
            </w:r>
          </w:p>
        </w:tc>
        <w:tc>
          <w:tcPr>
            <w:tcW w:w="108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股改实施日持有股份情况</w:t>
            </w:r>
          </w:p>
        </w:tc>
        <w:tc>
          <w:tcPr>
            <w:tcW w:w="109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本次解限前已解限股份情况</w:t>
            </w:r>
          </w:p>
        </w:tc>
        <w:tc>
          <w:tcPr>
            <w:tcW w:w="108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本次解限前未解限股份情况</w:t>
            </w:r>
          </w:p>
        </w:tc>
        <w:tc>
          <w:tcPr>
            <w:tcW w:w="62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股份数量变化沿革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5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数量（股）</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占总股本比例（%）</w:t>
            </w:r>
          </w:p>
        </w:tc>
        <w:tc>
          <w:tcPr>
            <w:tcW w:w="5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数量（股）</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占总股本比例（%）</w:t>
            </w:r>
          </w:p>
        </w:tc>
        <w:tc>
          <w:tcPr>
            <w:tcW w:w="5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数量（股）</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占总股本</w:t>
            </w:r>
          </w:p>
          <w:p>
            <w:pPr>
              <w:jc w:val="center"/>
              <w:rPr>
                <w:rFonts w:ascii="仿宋" w:hAnsi="仿宋" w:eastAsia="仿宋"/>
                <w:b/>
                <w:sz w:val="24"/>
                <w:szCs w:val="24"/>
              </w:rPr>
            </w:pPr>
            <w:r>
              <w:rPr>
                <w:rFonts w:hint="eastAsia" w:ascii="仿宋" w:hAnsi="仿宋" w:eastAsia="仿宋"/>
                <w:b/>
                <w:sz w:val="24"/>
                <w:szCs w:val="24"/>
              </w:rPr>
              <w:t>比例（%）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w:t>
            </w:r>
          </w:p>
        </w:tc>
        <w:tc>
          <w:tcPr>
            <w:tcW w:w="62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2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w:t>
            </w:r>
          </w:p>
        </w:tc>
        <w:tc>
          <w:tcPr>
            <w:tcW w:w="62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2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pct"/>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合 计</w:t>
            </w: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7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5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2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bl>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上表中“股份数量变化沿革”应当说明公司股改实施后至今，该限售股份持有人除增持、减持、解除限售外的股份变动情况，包括但不限于：司法裁定过户、分红派息、股权转让、垫付偿还、权证行权等情况。</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2．股改实施至今公司解除限售情况：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412"/>
        <w:gridCol w:w="1686"/>
        <w:gridCol w:w="151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披露《限售股份上市流通提示性公告》的日期</w:t>
            </w:r>
          </w:p>
        </w:tc>
        <w:tc>
          <w:tcPr>
            <w:tcW w:w="93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该次解限涉及的股东数量</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该次解限的股份总数量（股）</w:t>
            </w:r>
          </w:p>
        </w:tc>
        <w:tc>
          <w:tcPr>
            <w:tcW w:w="131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该次解限股份占当时总股本的比例（%）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w:t>
            </w:r>
          </w:p>
        </w:tc>
        <w:tc>
          <w:tcPr>
            <w:tcW w:w="133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93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w:t>
            </w:r>
          </w:p>
        </w:tc>
        <w:tc>
          <w:tcPr>
            <w:tcW w:w="133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93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331" w:type="pct"/>
            <w:tcBorders>
              <w:top w:val="single" w:color="auto" w:sz="4" w:space="0"/>
              <w:left w:val="single" w:color="auto" w:sz="4" w:space="0"/>
              <w:bottom w:val="single" w:color="auto" w:sz="4" w:space="0"/>
              <w:right w:val="single" w:color="auto" w:sz="4" w:space="0"/>
            </w:tcBorders>
          </w:tcPr>
          <w:p>
            <w:pPr>
              <w:ind w:firstLine="480"/>
              <w:rPr>
                <w:rFonts w:ascii="仿宋" w:hAnsi="仿宋" w:eastAsia="仿宋"/>
                <w:sz w:val="24"/>
                <w:szCs w:val="24"/>
              </w:rPr>
            </w:pPr>
          </w:p>
        </w:tc>
        <w:tc>
          <w:tcPr>
            <w:tcW w:w="93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bl>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六、保荐人核查意见书的结论性意见</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应说明保荐人对股东本次申请解除限售股份的数量、上市流通时间是否符合法律法规、有关规则和股东承诺，相关信息披露是否真实、准确、完整进行核查所出具的结论性意见。</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保荐人对有关事项存在异议的，应详细披露异议事项有关内容。</w:t>
      </w:r>
    </w:p>
    <w:p>
      <w:pPr>
        <w:widowControl/>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七、其他事项</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1．明确说明本次申请限售股份上市流通的限售股份持有人是否存在违规买卖公司股票的行为。若存在违规行为，应当说明违规的具体情况、改正计划和措施。</w:t>
      </w:r>
    </w:p>
    <w:p>
      <w:pPr>
        <w:widowControl/>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2．明确说明解除股份限售的持股1%以上的股东是否已提交知悉并严格遵守《证券法》《上市公司收购管理办法》和本所有关业务规则的承诺文件。</w:t>
      </w: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八、备查文件</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1．解除股份限售申请表；</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2．保荐人核查意见书；</w:t>
      </w:r>
    </w:p>
    <w:p>
      <w:pPr>
        <w:widowControl/>
        <w:spacing w:line="560" w:lineRule="exact"/>
        <w:ind w:firstLine="640" w:firstLineChars="200"/>
        <w:rPr>
          <w:rFonts w:ascii="仿宋" w:hAnsi="仿宋" w:eastAsia="仿宋"/>
          <w:b/>
          <w:kern w:val="0"/>
          <w:sz w:val="32"/>
          <w:szCs w:val="32"/>
        </w:rPr>
      </w:pPr>
      <w:r>
        <w:rPr>
          <w:rFonts w:hint="eastAsia" w:ascii="仿宋" w:hAnsi="仿宋" w:eastAsia="仿宋"/>
          <w:sz w:val="32"/>
          <w:szCs w:val="32"/>
        </w:rPr>
        <w:t>3．深交所要求的其他文件。</w:t>
      </w:r>
    </w:p>
    <w:p>
      <w:pPr>
        <w:widowControl/>
        <w:spacing w:line="560" w:lineRule="exact"/>
        <w:ind w:firstLine="643" w:firstLineChars="200"/>
        <w:rPr>
          <w:rFonts w:ascii="仿宋" w:hAnsi="仿宋" w:eastAsia="仿宋"/>
          <w:b/>
          <w:kern w:val="0"/>
          <w:sz w:val="32"/>
          <w:szCs w:val="32"/>
        </w:rPr>
      </w:pPr>
    </w:p>
    <w:p>
      <w:pPr>
        <w:widowControl/>
        <w:spacing w:line="560" w:lineRule="exact"/>
        <w:ind w:firstLine="140"/>
        <w:jc w:val="right"/>
        <w:rPr>
          <w:rFonts w:ascii="仿宋" w:hAnsi="仿宋" w:eastAsia="仿宋"/>
          <w:kern w:val="0"/>
          <w:sz w:val="32"/>
          <w:szCs w:val="32"/>
        </w:rPr>
      </w:pPr>
      <w:r>
        <w:rPr>
          <w:rFonts w:hint="eastAsia" w:ascii="仿宋" w:hAnsi="仿宋" w:eastAsia="仿宋"/>
          <w:kern w:val="0"/>
          <w:sz w:val="32"/>
          <w:szCs w:val="32"/>
        </w:rPr>
        <w:t>XXXXXX股份有限公董事会</w:t>
      </w:r>
    </w:p>
    <w:p>
      <w:pPr>
        <w:adjustRightInd w:val="0"/>
        <w:spacing w:line="560" w:lineRule="exact"/>
        <w:ind w:firstLine="5600" w:firstLineChars="1750"/>
        <w:rPr>
          <w:rFonts w:ascii="仿宋" w:hAnsi="仿宋" w:eastAsia="仿宋"/>
          <w:kern w:val="0"/>
          <w:sz w:val="32"/>
          <w:szCs w:val="32"/>
        </w:rPr>
      </w:pPr>
      <w:r>
        <w:rPr>
          <w:rFonts w:hint="eastAsia" w:ascii="仿宋" w:hAnsi="仿宋" w:eastAsia="仿宋"/>
          <w:kern w:val="0"/>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24" w:name="_Toc91782426"/>
      <w:bookmarkStart w:id="25" w:name="_Toc91781145"/>
      <w:bookmarkStart w:id="26" w:name="_Toc15391915"/>
      <w:bookmarkStart w:id="27" w:name="_Toc40813211"/>
      <w:bookmarkStart w:id="28" w:name="_Toc2189907"/>
      <w:bookmarkStart w:id="29" w:name="_Toc91607627"/>
      <w:bookmarkStart w:id="30" w:name="_Toc2189140"/>
      <w:bookmarkStart w:id="31" w:name="_Toc60758281"/>
      <w:bookmarkStart w:id="32" w:name="_Toc2348651"/>
      <w:bookmarkStart w:id="33" w:name="_Toc510444138"/>
      <w:bookmarkStart w:id="34" w:name="_Toc2179923"/>
      <w:bookmarkStart w:id="35" w:name="_Toc138173213"/>
      <w:bookmarkStart w:id="36" w:name="_Toc430016292"/>
      <w:bookmarkStart w:id="37" w:name="_Toc40795940"/>
      <w:bookmarkStart w:id="38" w:name="_Toc527123142"/>
      <w:bookmarkStart w:id="39" w:name="_Toc25941"/>
      <w:r>
        <w:rPr>
          <w:rFonts w:hint="eastAsia" w:ascii="方正小标宋简体" w:hAnsi="仿宋" w:eastAsia="方正小标宋简体"/>
          <w:kern w:val="44"/>
          <w:sz w:val="44"/>
          <w:szCs w:val="44"/>
        </w:rPr>
        <w:t>股份变动类第4号　上市公司股东</w:t>
      </w:r>
      <w:r>
        <w:rPr>
          <w:rFonts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减持股份实施情况公告格式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widowControl/>
        <w:adjustRightInd w:val="0"/>
        <w:spacing w:line="560" w:lineRule="exact"/>
        <w:ind w:right="360" w:firstLine="540"/>
        <w:rPr>
          <w:rFonts w:ascii="仿宋" w:hAnsi="仿宋" w:eastAsia="仿宋"/>
          <w:b/>
          <w:sz w:val="32"/>
          <w:szCs w:val="32"/>
        </w:rPr>
      </w:pP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XXXXXX股份有限公司股东减持股份实施情况公告</w:t>
      </w:r>
    </w:p>
    <w:p>
      <w:pPr>
        <w:widowControl/>
        <w:spacing w:line="360" w:lineRule="exact"/>
        <w:ind w:firstLine="539" w:firstLineChars="257"/>
        <w:rPr>
          <w:rFonts w:ascii="仿宋" w:hAnsi="仿宋" w:eastAsia="仿宋" w:cs="宋体"/>
          <w:kern w:val="0"/>
          <w:sz w:val="32"/>
          <w:szCs w:val="32"/>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63500</wp:posOffset>
                </wp:positionV>
                <wp:extent cx="5915025" cy="1266825"/>
                <wp:effectExtent l="0" t="0" r="28575" b="28575"/>
                <wp:wrapNone/>
                <wp:docPr id="252" name="矩形 252"/>
                <wp:cNvGraphicFramePr/>
                <a:graphic xmlns:a="http://schemas.openxmlformats.org/drawingml/2006/main">
                  <a:graphicData uri="http://schemas.microsoft.com/office/word/2010/wordprocessingShape">
                    <wps:wsp>
                      <wps:cNvSpPr>
                        <a:spLocks noChangeArrowheads="1"/>
                      </wps:cNvSpPr>
                      <wps:spPr bwMode="auto">
                        <a:xfrm>
                          <a:off x="0" y="0"/>
                          <a:ext cx="5915025" cy="12668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5pt;height:99.75pt;width:465.75pt;mso-position-horizontal:center;mso-position-horizontal-relative:margin;z-index:251662336;mso-width-relative:page;mso-height-relative:page;" fillcolor="#FFFFFF" filled="t" stroked="t" coordsize="21600,21600" o:gfxdata="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acmC9YAAAAHAQAADwAAAAAAAAABACAAAAAiAAAAZHJzL2Rvd25yZXYu&#10;eG1sUEsBAhQAFAAAAAgAh07iQCV3qHY2AgAAfwQAAA4AAAAAAAAAAQAgAAAAJQEAAGRycy9lMm9E&#10;b2MueG1sUEsFBgAAAAAGAAYAWQEAAM0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560" w:lineRule="exact"/>
        <w:ind w:firstLine="567"/>
        <w:rPr>
          <w:rFonts w:ascii="仿宋" w:hAnsi="仿宋" w:eastAsia="仿宋"/>
          <w:b/>
          <w:kern w:val="0"/>
          <w:sz w:val="32"/>
          <w:szCs w:val="32"/>
        </w:rPr>
      </w:pPr>
    </w:p>
    <w:p>
      <w:pPr>
        <w:widowControl/>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一、股东减持情况</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1．股东减持股份情况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055"/>
        <w:gridCol w:w="1018"/>
        <w:gridCol w:w="1018"/>
        <w:gridCol w:w="176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9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kern w:val="0"/>
                <w:sz w:val="24"/>
              </w:rPr>
              <w:t>股东名称</w:t>
            </w: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kern w:val="0"/>
                <w:sz w:val="24"/>
              </w:rPr>
              <w:t>减持方式</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减持</w:t>
            </w:r>
          </w:p>
          <w:p>
            <w:pPr>
              <w:jc w:val="center"/>
              <w:rPr>
                <w:rFonts w:ascii="仿宋" w:hAnsi="仿宋" w:eastAsia="仿宋"/>
                <w:b/>
                <w:sz w:val="24"/>
              </w:rPr>
            </w:pPr>
            <w:r>
              <w:rPr>
                <w:rFonts w:hint="eastAsia" w:ascii="仿宋" w:hAnsi="仿宋" w:eastAsia="仿宋"/>
                <w:b/>
                <w:kern w:val="0"/>
                <w:sz w:val="24"/>
              </w:rPr>
              <w:t>期间</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减持</w:t>
            </w:r>
          </w:p>
          <w:p>
            <w:pPr>
              <w:jc w:val="center"/>
              <w:rPr>
                <w:rFonts w:ascii="仿宋" w:hAnsi="仿宋" w:eastAsia="仿宋"/>
                <w:b/>
                <w:sz w:val="24"/>
              </w:rPr>
            </w:pPr>
            <w:r>
              <w:rPr>
                <w:rFonts w:hint="eastAsia" w:ascii="仿宋" w:hAnsi="仿宋" w:eastAsia="仿宋"/>
                <w:b/>
                <w:sz w:val="24"/>
              </w:rPr>
              <w:t>均价</w:t>
            </w: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减持股数（万股）</w:t>
            </w: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减持比例</w:t>
            </w:r>
          </w:p>
          <w:p>
            <w:pPr>
              <w:jc w:val="center"/>
              <w:rPr>
                <w:rFonts w:ascii="仿宋" w:hAnsi="仿宋" w:eastAsia="仿宋"/>
                <w:b/>
                <w:sz w:val="24"/>
              </w:rPr>
            </w:pP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9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集中竞价交易</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大宗交易</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其他方式</w:t>
            </w:r>
          </w:p>
          <w:p>
            <w:pPr>
              <w:jc w:val="center"/>
              <w:rPr>
                <w:rFonts w:ascii="仿宋" w:hAnsi="仿宋" w:eastAsia="仿宋"/>
                <w:sz w:val="24"/>
              </w:rPr>
            </w:pPr>
            <w:r>
              <w:rPr>
                <w:rFonts w:hint="eastAsia" w:ascii="仿宋" w:hAnsi="仿宋" w:eastAsia="仿宋"/>
                <w:sz w:val="24"/>
              </w:rPr>
              <w:t>（需明确）</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113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  计</w:t>
            </w: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5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bl>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股东通过集中竞价、大宗交易方式减持的，还应当披露减持股份来源、减持价格区间等情况。</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2．股东本次减持前后持股情况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750"/>
        <w:gridCol w:w="1513"/>
        <w:gridCol w:w="1515"/>
        <w:gridCol w:w="1513"/>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股东</w:t>
            </w:r>
          </w:p>
          <w:p>
            <w:pPr>
              <w:widowControl/>
              <w:jc w:val="center"/>
              <w:rPr>
                <w:rFonts w:ascii="仿宋" w:hAnsi="仿宋" w:eastAsia="仿宋"/>
                <w:b/>
                <w:kern w:val="0"/>
                <w:sz w:val="24"/>
              </w:rPr>
            </w:pPr>
            <w:r>
              <w:rPr>
                <w:rFonts w:hint="eastAsia" w:ascii="仿宋" w:hAnsi="仿宋" w:eastAsia="仿宋"/>
                <w:b/>
                <w:kern w:val="0"/>
                <w:sz w:val="24"/>
              </w:rPr>
              <w:t>名称</w:t>
            </w:r>
          </w:p>
        </w:tc>
        <w:tc>
          <w:tcPr>
            <w:tcW w:w="96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股份性质</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本次减持前持有股份</w:t>
            </w:r>
          </w:p>
        </w:tc>
        <w:tc>
          <w:tcPr>
            <w:tcW w:w="167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本次减持后持有股份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股数（万股）</w:t>
            </w:r>
          </w:p>
        </w:tc>
        <w:tc>
          <w:tcPr>
            <w:tcW w:w="83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占总股本比例（%）</w:t>
            </w: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股数（万股）</w:t>
            </w:r>
          </w:p>
        </w:tc>
        <w:tc>
          <w:tcPr>
            <w:tcW w:w="83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合计持有股份</w:t>
            </w: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9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其中：</w:t>
            </w:r>
          </w:p>
          <w:p>
            <w:pPr>
              <w:jc w:val="center"/>
              <w:rPr>
                <w:rFonts w:ascii="仿宋" w:hAnsi="仿宋" w:eastAsia="仿宋"/>
                <w:sz w:val="24"/>
              </w:rPr>
            </w:pPr>
            <w:r>
              <w:rPr>
                <w:rFonts w:hint="eastAsia" w:ascii="仿宋" w:hAnsi="仿宋" w:eastAsia="仿宋"/>
                <w:sz w:val="24"/>
              </w:rPr>
              <w:t>无限售条件股份</w:t>
            </w: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9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有限售条件股份</w:t>
            </w: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bl>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二、其他相关说明</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1．明确说明本次减持是否遵守相关法律法规、本所业务规则的规定。若存在违规行为，应当说明违规的具体情况、整改计划和处理措施。</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2．明确说明本次减持是否与股东此前已披露的意向、减持计划一致，以及存在差异的原因（如适用）；若存在违规行为，应当说明违规的具体情况、整改计划和处理措施。</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3．股东在《招股说明书》《股权分置改革说明书》《收购报告书》等文件或公告中作出最低减持价格、最高减持数量等承诺的，应当说明相关承诺的具体情况，并明确说明本次减持是否存在违反承诺的情形。</w:t>
      </w: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三、备查文件</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1．相关股东减持情况说明；</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tabs>
          <w:tab w:val="left" w:pos="1800"/>
          <w:tab w:val="left" w:pos="1980"/>
        </w:tabs>
        <w:spacing w:line="560" w:lineRule="exact"/>
        <w:ind w:firstLine="640" w:firstLineChars="200"/>
        <w:rPr>
          <w:rFonts w:ascii="仿宋" w:hAnsi="仿宋" w:eastAsia="仿宋"/>
          <w:sz w:val="32"/>
          <w:szCs w:val="32"/>
        </w:rPr>
      </w:pPr>
    </w:p>
    <w:p>
      <w:pPr>
        <w:tabs>
          <w:tab w:val="left" w:pos="1800"/>
          <w:tab w:val="left" w:pos="198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XXXXXX股份有限公司董事会</w:t>
      </w:r>
    </w:p>
    <w:p>
      <w:pPr>
        <w:tabs>
          <w:tab w:val="left" w:pos="1800"/>
          <w:tab w:val="left" w:pos="1980"/>
        </w:tabs>
        <w:spacing w:line="560" w:lineRule="exact"/>
        <w:ind w:right="480" w:firstLine="640" w:firstLineChars="20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40" w:name="_Toc2348658"/>
      <w:bookmarkStart w:id="41" w:name="_Toc527123154"/>
      <w:bookmarkStart w:id="42" w:name="_Toc15391922"/>
      <w:bookmarkStart w:id="43" w:name="_Toc2179930"/>
      <w:bookmarkStart w:id="44" w:name="_Toc2189914"/>
      <w:bookmarkStart w:id="45" w:name="_Toc2189147"/>
      <w:bookmarkStart w:id="46" w:name="_Toc40795947"/>
      <w:bookmarkStart w:id="47" w:name="_Toc510444145"/>
      <w:bookmarkStart w:id="48" w:name="_Toc439352680"/>
      <w:bookmarkStart w:id="49" w:name="_Toc60758288"/>
      <w:bookmarkStart w:id="50" w:name="_Toc40813218"/>
      <w:bookmarkStart w:id="51" w:name="_Toc91781146"/>
      <w:bookmarkStart w:id="52" w:name="_Toc91607628"/>
      <w:bookmarkStart w:id="53" w:name="_Toc15185"/>
      <w:bookmarkStart w:id="54" w:name="_Toc138173214"/>
      <w:bookmarkStart w:id="55" w:name="_Toc91782427"/>
      <w:r>
        <w:rPr>
          <w:rFonts w:hint="eastAsia" w:ascii="方正小标宋简体" w:hAnsi="仿宋" w:eastAsia="方正小标宋简体"/>
          <w:kern w:val="44"/>
          <w:sz w:val="44"/>
          <w:szCs w:val="44"/>
        </w:rPr>
        <w:t>股份变动类第5号　上市公司股东及</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董事、监事、高级管理人员减持股份</w:t>
      </w:r>
      <w:bookmarkEnd w:id="40"/>
      <w:bookmarkEnd w:id="41"/>
      <w:bookmarkEnd w:id="42"/>
      <w:bookmarkEnd w:id="43"/>
      <w:bookmarkEnd w:id="44"/>
      <w:bookmarkEnd w:id="45"/>
      <w:bookmarkEnd w:id="46"/>
      <w:bookmarkEnd w:id="47"/>
      <w:bookmarkEnd w:id="48"/>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预披露公告格式</w:t>
      </w:r>
      <w:bookmarkEnd w:id="49"/>
      <w:bookmarkEnd w:id="50"/>
      <w:bookmarkEnd w:id="51"/>
      <w:bookmarkEnd w:id="52"/>
      <w:bookmarkEnd w:id="53"/>
      <w:bookmarkEnd w:id="54"/>
      <w:bookmarkEnd w:id="55"/>
    </w:p>
    <w:p>
      <w:pPr>
        <w:adjustRightInd w:val="0"/>
        <w:snapToGrid w:val="0"/>
        <w:spacing w:line="540" w:lineRule="exact"/>
        <w:ind w:firstLine="643" w:firstLineChars="200"/>
        <w:rPr>
          <w:rFonts w:ascii="仿宋" w:hAnsi="仿宋" w:eastAsia="仿宋"/>
          <w:b/>
          <w:sz w:val="32"/>
          <w:szCs w:val="32"/>
        </w:rPr>
      </w:pP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适用情形及注意事项：</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1．上市公司</w:t>
      </w:r>
      <w:r>
        <w:rPr>
          <w:rFonts w:hint="eastAsia" w:ascii="仿宋" w:hAnsi="仿宋" w:eastAsia="仿宋"/>
          <w:color w:val="000000"/>
          <w:sz w:val="32"/>
          <w:szCs w:val="32"/>
        </w:rPr>
        <w:t>持有5%以上股份的股东、控股股东、实际控制人</w:t>
      </w:r>
      <w:r>
        <w:rPr>
          <w:rFonts w:hint="eastAsia" w:ascii="仿宋" w:hAnsi="仿宋" w:eastAsia="仿宋" w:cs="宋体"/>
          <w:kern w:val="0"/>
          <w:sz w:val="32"/>
          <w:szCs w:val="32"/>
        </w:rPr>
        <w:t>（以下简称大股东）及董事、监事、高级管理人员（以下简称董监高）计划通过本所证券交易系统以集中竞价交易方式</w:t>
      </w:r>
      <w:r>
        <w:rPr>
          <w:rFonts w:hint="eastAsia" w:ascii="仿宋" w:hAnsi="仿宋" w:eastAsia="仿宋"/>
          <w:color w:val="000000"/>
          <w:sz w:val="32"/>
          <w:szCs w:val="32"/>
        </w:rPr>
        <w:t>或者大宗交易方式</w:t>
      </w:r>
      <w:r>
        <w:rPr>
          <w:rFonts w:hint="eastAsia" w:ascii="仿宋" w:hAnsi="仿宋" w:eastAsia="仿宋" w:cs="宋体"/>
          <w:kern w:val="0"/>
          <w:sz w:val="32"/>
          <w:szCs w:val="32"/>
        </w:rPr>
        <w:t>减持股份，</w:t>
      </w:r>
      <w:r>
        <w:rPr>
          <w:rFonts w:hint="eastAsia" w:ascii="仿宋" w:hAnsi="仿宋" w:eastAsia="仿宋"/>
          <w:color w:val="000000"/>
          <w:sz w:val="32"/>
          <w:szCs w:val="32"/>
        </w:rPr>
        <w:t>根据证监会《上市公司股东减持股份管理办法》《上市公司董事、监事和高级管理人员所持本公司股份及其变动管理规则》以及本所《股票上市规则》《上市公司自律监管指引第18号——股东及董事、监事、高级管理人员减持股份》等规定，</w:t>
      </w:r>
      <w:r>
        <w:rPr>
          <w:rFonts w:hint="eastAsia" w:ascii="仿宋" w:hAnsi="仿宋" w:eastAsia="仿宋" w:cs="宋体"/>
          <w:kern w:val="0"/>
          <w:sz w:val="32"/>
          <w:szCs w:val="32"/>
        </w:rPr>
        <w:t>在首次卖出的十五个交易日之前预先披露减持计划公告的，</w:t>
      </w:r>
      <w:r>
        <w:rPr>
          <w:rFonts w:hint="eastAsia" w:ascii="仿宋" w:hAnsi="仿宋" w:eastAsia="仿宋"/>
          <w:color w:val="000000"/>
          <w:sz w:val="32"/>
          <w:szCs w:val="32"/>
        </w:rPr>
        <w:t>适用本公告格式</w:t>
      </w:r>
      <w:r>
        <w:rPr>
          <w:rFonts w:hint="eastAsia" w:ascii="仿宋" w:hAnsi="仿宋" w:eastAsia="仿宋" w:cs="宋体"/>
          <w:kern w:val="0"/>
          <w:sz w:val="32"/>
          <w:szCs w:val="32"/>
        </w:rPr>
        <w:t>。</w:t>
      </w:r>
    </w:p>
    <w:p>
      <w:pPr>
        <w:widowControl/>
        <w:spacing w:line="560" w:lineRule="exact"/>
        <w:ind w:firstLine="640" w:firstLineChars="200"/>
        <w:rPr>
          <w:rFonts w:ascii="仿宋" w:hAnsi="仿宋" w:eastAsia="仿宋"/>
          <w:color w:val="000000"/>
          <w:sz w:val="32"/>
          <w:szCs w:val="32"/>
        </w:rPr>
      </w:pPr>
      <w:r>
        <w:rPr>
          <w:rFonts w:hint="eastAsia" w:ascii="仿宋" w:hAnsi="仿宋" w:eastAsia="仿宋" w:cs="宋体"/>
          <w:kern w:val="0"/>
          <w:sz w:val="32"/>
          <w:szCs w:val="32"/>
        </w:rPr>
        <w:t>2.</w:t>
      </w:r>
      <w:r>
        <w:rPr>
          <w:rFonts w:hint="eastAsia" w:ascii="仿宋" w:hAnsi="仿宋" w:eastAsia="仿宋"/>
          <w:color w:val="000000"/>
          <w:sz w:val="32"/>
          <w:szCs w:val="32"/>
        </w:rPr>
        <w:t>上市公司大股东的一致行动人、首次公开发行时的控股股东、实际控制人及其一致行动人等相关股东，根据有关规定披露减持计划的，适用本公告格式。</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olor w:val="000000"/>
          <w:sz w:val="32"/>
          <w:szCs w:val="32"/>
        </w:rPr>
        <w:t>3.股东根据其他规定或承诺披露减持计划的，参照适用本公告格式。</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color w:val="000000"/>
          <w:sz w:val="32"/>
          <w:szCs w:val="32"/>
        </w:rPr>
        <w:t>已披露减持计划的股东</w:t>
      </w:r>
      <w:r>
        <w:rPr>
          <w:rFonts w:hint="eastAsia" w:ascii="仿宋" w:hAnsi="仿宋" w:eastAsia="仿宋" w:cs="宋体"/>
          <w:kern w:val="0"/>
          <w:sz w:val="32"/>
          <w:szCs w:val="32"/>
        </w:rPr>
        <w:t>应当在减持计划实施完毕后或减持期限届满后两个交易日内按照本指南“上市公司股东减持股份实施情况公告格式”披露减持计划实施情况。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5.上市公司同时在境内外市场发行股份并上市的，按相关股东通过本所证券交易系统减持股份数量和境内外发行股份的总股本计算减持比例。</w:t>
      </w:r>
    </w:p>
    <w:p>
      <w:pPr>
        <w:widowControl/>
        <w:adjustRightInd w:val="0"/>
        <w:spacing w:line="560" w:lineRule="exact"/>
        <w:ind w:right="360"/>
        <w:rPr>
          <w:rFonts w:ascii="仿宋" w:hAnsi="仿宋" w:eastAsia="仿宋"/>
          <w:kern w:val="0"/>
          <w:sz w:val="32"/>
          <w:szCs w:val="32"/>
        </w:rPr>
      </w:pPr>
    </w:p>
    <w:p>
      <w:pPr>
        <w:widowControl/>
        <w:adjustRightInd w:val="0"/>
        <w:spacing w:line="540" w:lineRule="exact"/>
        <w:ind w:right="360" w:firstLine="540"/>
        <w:jc w:val="center"/>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40" w:lineRule="exact"/>
        <w:jc w:val="center"/>
        <w:rPr>
          <w:rFonts w:ascii="仿宋" w:hAnsi="仿宋" w:eastAsia="仿宋"/>
          <w:kern w:val="0"/>
          <w:sz w:val="32"/>
          <w:szCs w:val="32"/>
        </w:rPr>
      </w:pPr>
      <w:r>
        <w:rPr>
          <w:rFonts w:hint="eastAsia" w:ascii="仿宋" w:hAnsi="仿宋" w:eastAsia="仿宋"/>
          <w:kern w:val="0"/>
          <w:sz w:val="32"/>
          <w:szCs w:val="32"/>
        </w:rPr>
        <w:t>XXXXXX股份有限公司</w:t>
      </w:r>
      <w:r>
        <w:rPr>
          <w:rFonts w:hint="eastAsia" w:ascii="仿宋" w:hAnsi="仿宋" w:eastAsia="仿宋" w:cs="宋体"/>
          <w:bCs/>
          <w:color w:val="000000"/>
          <w:kern w:val="0"/>
          <w:sz w:val="32"/>
          <w:szCs w:val="32"/>
        </w:rPr>
        <w:t>大股东/董监高</w:t>
      </w:r>
      <w:r>
        <w:rPr>
          <w:rFonts w:hint="eastAsia" w:ascii="仿宋" w:hAnsi="仿宋" w:eastAsia="仿宋"/>
          <w:kern w:val="0"/>
          <w:sz w:val="32"/>
          <w:szCs w:val="32"/>
        </w:rPr>
        <w:t>XX（减持主体）减持股份</w:t>
      </w:r>
      <w:r>
        <w:rPr>
          <w:rFonts w:hint="eastAsia" w:ascii="仿宋" w:hAnsi="仿宋" w:eastAsia="仿宋"/>
          <w:sz w:val="32"/>
          <w:szCs w:val="32"/>
        </w:rPr>
        <w:t>预披露</w:t>
      </w:r>
      <w:r>
        <w:rPr>
          <w:rFonts w:hint="eastAsia" w:ascii="仿宋" w:hAnsi="仿宋" w:eastAsia="仿宋"/>
          <w:kern w:val="0"/>
          <w:sz w:val="32"/>
          <w:szCs w:val="32"/>
        </w:rPr>
        <w:t>公告</w:t>
      </w:r>
    </w:p>
    <w:p>
      <w:pPr>
        <w:widowControl/>
        <w:spacing w:line="360" w:lineRule="exact"/>
        <w:rPr>
          <w:rFonts w:ascii="仿宋" w:hAnsi="仿宋" w:eastAsia="仿宋" w:cs="宋体"/>
          <w:b/>
          <w:bCs/>
          <w:kern w:val="0"/>
          <w:sz w:val="32"/>
          <w:szCs w:val="32"/>
        </w:rPr>
      </w:pPr>
    </w:p>
    <w:p>
      <w:pPr>
        <w:widowControl/>
        <w:spacing w:line="360" w:lineRule="exact"/>
        <w:ind w:firstLine="539" w:firstLineChars="257"/>
        <w:rPr>
          <w:rFonts w:ascii="仿宋" w:hAnsi="仿宋" w:eastAsia="仿宋" w:cs="宋体"/>
          <w:kern w:val="0"/>
          <w:sz w:val="32"/>
          <w:szCs w:val="32"/>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9525</wp:posOffset>
                </wp:positionV>
                <wp:extent cx="5915025" cy="1247775"/>
                <wp:effectExtent l="0" t="0" r="28575" b="28575"/>
                <wp:wrapNone/>
                <wp:docPr id="251" name="矩形 251"/>
                <wp:cNvGraphicFramePr/>
                <a:graphic xmlns:a="http://schemas.openxmlformats.org/drawingml/2006/main">
                  <a:graphicData uri="http://schemas.microsoft.com/office/word/2010/wordprocessingShape">
                    <wps:wsp>
                      <wps:cNvSpPr>
                        <a:spLocks noChangeArrowheads="1"/>
                      </wps:cNvSpPr>
                      <wps:spPr bwMode="auto">
                        <a:xfrm>
                          <a:off x="0" y="0"/>
                          <a:ext cx="5915025" cy="124777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大股东/董监高XX</w:t>
                            </w:r>
                            <w:r>
                              <w:rPr>
                                <w:rFonts w:hint="eastAsia" w:ascii="仿宋" w:hAnsi="仿宋" w:eastAsia="仿宋"/>
                                <w:kern w:val="0"/>
                                <w:sz w:val="32"/>
                                <w:szCs w:val="32"/>
                              </w:rPr>
                              <w:t>（减持主体）</w:t>
                            </w:r>
                            <w:r>
                              <w:rPr>
                                <w:rFonts w:hint="eastAsia" w:ascii="仿宋" w:hAnsi="仿宋" w:eastAsia="仿宋"/>
                                <w:sz w:val="32"/>
                                <w:szCs w:val="32"/>
                              </w:rPr>
                              <w:t>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75pt;height:98.25pt;width:465.75pt;mso-position-horizontal:center;mso-position-horizontal-relative:margin;z-index:251663360;mso-width-relative:page;mso-height-relative:page;" fillcolor="#FFFFFF" filled="t" stroked="t" coordsize="21600,21600" o:gfxdata="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gSwTLUAAAABgEAAA8AAAAAAAAAAQAgAAAAIgAAAGRycy9kb3ducmV2Lnht&#10;bFBLAQIUABQAAAAIAIdO4kAfqIvaNgIAAH8EAAAOAAAAAAAAAAEAIAAAACMBAABkcnMvZTJvRG9j&#10;LnhtbFBLBQYAAAAABgAGAFkBAADL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大股东/董监高XX</w:t>
                      </w:r>
                      <w:r>
                        <w:rPr>
                          <w:rFonts w:hint="eastAsia" w:ascii="仿宋" w:hAnsi="仿宋" w:eastAsia="仿宋"/>
                          <w:kern w:val="0"/>
                          <w:sz w:val="32"/>
                          <w:szCs w:val="32"/>
                        </w:rPr>
                        <w:t>（减持主体）</w:t>
                      </w:r>
                      <w:r>
                        <w:rPr>
                          <w:rFonts w:hint="eastAsia" w:ascii="仿宋" w:hAnsi="仿宋" w:eastAsia="仿宋"/>
                          <w:sz w:val="32"/>
                          <w:szCs w:val="32"/>
                        </w:rPr>
                        <w:t>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360" w:lineRule="exact"/>
        <w:ind w:firstLine="822" w:firstLineChars="257"/>
        <w:rPr>
          <w:rFonts w:ascii="仿宋" w:hAnsi="仿宋" w:eastAsia="仿宋" w:cs="宋体"/>
          <w:kern w:val="0"/>
          <w:sz w:val="32"/>
          <w:szCs w:val="32"/>
        </w:rPr>
      </w:pPr>
    </w:p>
    <w:p>
      <w:pPr>
        <w:widowControl/>
        <w:spacing w:line="560" w:lineRule="exact"/>
        <w:ind w:firstLine="720"/>
        <w:rPr>
          <w:rFonts w:ascii="仿宋" w:hAnsi="仿宋" w:eastAsia="仿宋"/>
          <w:kern w:val="0"/>
          <w:sz w:val="32"/>
          <w:szCs w:val="32"/>
        </w:rPr>
      </w:pPr>
    </w:p>
    <w:p>
      <w:pPr>
        <w:widowControl/>
        <w:spacing w:line="540" w:lineRule="exact"/>
        <w:ind w:firstLine="567"/>
        <w:rPr>
          <w:rFonts w:ascii="仿宋" w:hAnsi="仿宋" w:eastAsia="仿宋"/>
          <w:b/>
          <w:sz w:val="32"/>
          <w:szCs w:val="32"/>
        </w:rPr>
      </w:pPr>
    </w:p>
    <w:p>
      <w:pPr>
        <w:widowControl/>
        <w:spacing w:line="540" w:lineRule="exact"/>
        <w:ind w:firstLine="567"/>
        <w:rPr>
          <w:rFonts w:ascii="仿宋" w:hAnsi="仿宋" w:eastAsia="仿宋"/>
          <w:b/>
          <w:sz w:val="32"/>
          <w:szCs w:val="32"/>
        </w:rPr>
      </w:pPr>
    </w:p>
    <w:p>
      <w:pPr>
        <w:widowControl/>
        <w:spacing w:line="540" w:lineRule="exact"/>
        <w:ind w:firstLine="643" w:firstLineChars="200"/>
        <w:rPr>
          <w:rFonts w:ascii="仿宋" w:hAnsi="仿宋" w:eastAsia="仿宋"/>
          <w:kern w:val="0"/>
          <w:sz w:val="32"/>
          <w:szCs w:val="32"/>
        </w:rPr>
      </w:pPr>
      <w:r>
        <w:rPr>
          <w:rFonts w:hint="eastAsia" w:ascii="仿宋" w:hAnsi="仿宋" w:eastAsia="仿宋"/>
          <w:b/>
          <w:sz w:val="32"/>
          <w:szCs w:val="32"/>
        </w:rPr>
        <w:t>特别提示：</w:t>
      </w:r>
      <w:r>
        <w:rPr>
          <w:rFonts w:hint="eastAsia" w:ascii="仿宋" w:hAnsi="仿宋" w:eastAsia="仿宋"/>
          <w:sz w:val="32"/>
          <w:szCs w:val="32"/>
        </w:rPr>
        <w:t>持有本公司股份</w:t>
      </w:r>
      <w:r>
        <w:rPr>
          <w:rFonts w:hint="eastAsia" w:ascii="仿宋" w:hAnsi="仿宋" w:eastAsia="仿宋"/>
          <w:sz w:val="32"/>
          <w:szCs w:val="32"/>
          <w:u w:val="single"/>
        </w:rPr>
        <w:t xml:space="preserve">   </w:t>
      </w:r>
      <w:r>
        <w:rPr>
          <w:rFonts w:hint="eastAsia" w:ascii="仿宋" w:hAnsi="仿宋" w:eastAsia="仿宋"/>
          <w:sz w:val="32"/>
          <w:szCs w:val="32"/>
        </w:rPr>
        <w:t>（数量）股（占本公司总股本比例</w:t>
      </w:r>
      <w:r>
        <w:rPr>
          <w:rFonts w:hint="eastAsia" w:ascii="仿宋" w:hAnsi="仿宋" w:eastAsia="仿宋"/>
          <w:sz w:val="32"/>
          <w:szCs w:val="32"/>
          <w:u w:val="single"/>
        </w:rPr>
        <w:t xml:space="preserve">   </w:t>
      </w:r>
      <w:r>
        <w:rPr>
          <w:rFonts w:hint="eastAsia" w:ascii="仿宋" w:hAnsi="仿宋" w:eastAsia="仿宋"/>
          <w:sz w:val="32"/>
          <w:szCs w:val="32"/>
        </w:rPr>
        <w:t xml:space="preserve"> %）的大股东/董监高</w:t>
      </w:r>
      <w:r>
        <w:rPr>
          <w:rFonts w:hint="eastAsia" w:ascii="仿宋" w:hAnsi="仿宋" w:eastAsia="仿宋"/>
          <w:color w:val="000000"/>
          <w:sz w:val="32"/>
          <w:szCs w:val="32"/>
        </w:rPr>
        <w:t>/（其他股东身份）</w:t>
      </w:r>
      <w:r>
        <w:rPr>
          <w:rFonts w:hint="eastAsia" w:ascii="仿宋" w:hAnsi="仿宋" w:eastAsia="仿宋"/>
          <w:sz w:val="32"/>
          <w:szCs w:val="32"/>
          <w:u w:val="single"/>
        </w:rPr>
        <w:t xml:space="preserve">   </w:t>
      </w:r>
      <w:r>
        <w:rPr>
          <w:rFonts w:hint="eastAsia" w:ascii="仿宋" w:hAnsi="仿宋" w:eastAsia="仿宋"/>
          <w:sz w:val="32"/>
          <w:szCs w:val="32"/>
        </w:rPr>
        <w:t>（名称）计划在</w:t>
      </w:r>
      <w:r>
        <w:rPr>
          <w:rFonts w:hint="eastAsia" w:ascii="仿宋" w:hAnsi="仿宋" w:eastAsia="仿宋"/>
          <w:sz w:val="32"/>
          <w:szCs w:val="32"/>
          <w:u w:val="single"/>
        </w:rPr>
        <w:t xml:space="preserve">   </w:t>
      </w:r>
      <w:r>
        <w:rPr>
          <w:rFonts w:hint="eastAsia" w:ascii="仿宋" w:hAnsi="仿宋" w:eastAsia="仿宋"/>
          <w:sz w:val="32"/>
          <w:szCs w:val="32"/>
        </w:rPr>
        <w:t>（期间）以集中竞价方式</w:t>
      </w:r>
      <w:r>
        <w:rPr>
          <w:rFonts w:hint="eastAsia" w:ascii="仿宋" w:hAnsi="仿宋" w:eastAsia="仿宋"/>
          <w:color w:val="000000"/>
          <w:sz w:val="32"/>
          <w:szCs w:val="32"/>
        </w:rPr>
        <w:t>/大宗交易方式</w:t>
      </w:r>
      <w:r>
        <w:rPr>
          <w:rFonts w:hint="eastAsia" w:ascii="仿宋" w:hAnsi="仿宋" w:eastAsia="仿宋"/>
          <w:sz w:val="32"/>
          <w:szCs w:val="32"/>
        </w:rPr>
        <w:t>减持本公司股份</w:t>
      </w:r>
      <w:r>
        <w:rPr>
          <w:rFonts w:hint="eastAsia" w:ascii="仿宋" w:hAnsi="仿宋" w:eastAsia="仿宋"/>
          <w:sz w:val="32"/>
          <w:szCs w:val="32"/>
          <w:u w:val="single"/>
        </w:rPr>
        <w:t xml:space="preserve">   </w:t>
      </w:r>
      <w:r>
        <w:rPr>
          <w:rFonts w:hint="eastAsia" w:ascii="仿宋" w:hAnsi="仿宋" w:eastAsia="仿宋"/>
          <w:sz w:val="32"/>
          <w:szCs w:val="32"/>
        </w:rPr>
        <w:t>（数量）股（占本公司总股本比例</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一、XX（减持主体）的基本情况</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（一）XX（减持主体）的名称。</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（二）XX（减持主体）持有股份的总数量、占公司总股本的比例。</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二、本次减持计划的主要内容</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（一）本次拟减持的原因、股份来源、数量、方式、占公司总股本的比例、减持期间（不超过3个月）、价格区间等具体安排。 </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（二）本次拟减持事项是否与XX（减持主体）此前已披露的持股意向、承诺一致。</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（三）XX（减持主体）是否存在本所《上市公司自律监管指引第18号——股东及董事、监事、高级管理人员减持股份》第五条至第九条（如适用）规定的情形。</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三、相关风险提示</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（一）减持计划实施的不确定性风险，如计划实施的前提条件、限制性条件以及相关条件成就或消除的具体情形等。</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（二）减持计划实施可能导致上市公司控制权发生变更的风险（如适用）。</w:t>
      </w:r>
    </w:p>
    <w:p>
      <w:pPr>
        <w:widowControl/>
        <w:spacing w:line="540" w:lineRule="exact"/>
        <w:ind w:firstLine="643" w:firstLineChars="200"/>
        <w:rPr>
          <w:rFonts w:ascii="仿宋" w:hAnsi="仿宋" w:eastAsia="仿宋"/>
          <w:b/>
          <w:kern w:val="0"/>
          <w:sz w:val="32"/>
          <w:szCs w:val="32"/>
        </w:rPr>
      </w:pPr>
      <w:r>
        <w:rPr>
          <w:rFonts w:hint="eastAsia" w:ascii="仿宋" w:hAnsi="仿宋" w:eastAsia="仿宋"/>
          <w:b/>
          <w:kern w:val="0"/>
          <w:sz w:val="32"/>
          <w:szCs w:val="32"/>
        </w:rPr>
        <w:t>四、备查文件</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1．股东关于减持计划的书面文件；</w:t>
      </w:r>
    </w:p>
    <w:p>
      <w:pPr>
        <w:widowControl/>
        <w:spacing w:line="54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widowControl/>
        <w:spacing w:line="540" w:lineRule="exact"/>
        <w:ind w:firstLine="640" w:firstLineChars="200"/>
        <w:rPr>
          <w:rFonts w:ascii="仿宋" w:hAnsi="仿宋" w:eastAsia="仿宋"/>
          <w:sz w:val="32"/>
          <w:szCs w:val="32"/>
        </w:rPr>
      </w:pPr>
    </w:p>
    <w:p>
      <w:pPr>
        <w:spacing w:line="540" w:lineRule="exact"/>
        <w:ind w:firstLine="4160"/>
        <w:jc w:val="right"/>
        <w:rPr>
          <w:rFonts w:ascii="仿宋" w:hAnsi="仿宋" w:eastAsia="仿宋"/>
          <w:sz w:val="32"/>
          <w:szCs w:val="32"/>
        </w:rPr>
      </w:pPr>
      <w:bookmarkStart w:id="56" w:name="_Toc510444146"/>
      <w:bookmarkStart w:id="57" w:name="_Toc2348659"/>
      <w:bookmarkStart w:id="58" w:name="_Toc2179931"/>
      <w:bookmarkStart w:id="59" w:name="_Toc2189915"/>
      <w:bookmarkStart w:id="60" w:name="_Toc2189148"/>
      <w:bookmarkStart w:id="61" w:name="_Toc527123155"/>
      <w:r>
        <w:rPr>
          <w:rFonts w:hint="eastAsia" w:ascii="仿宋" w:hAnsi="仿宋" w:eastAsia="仿宋"/>
          <w:sz w:val="32"/>
          <w:szCs w:val="32"/>
        </w:rPr>
        <w:t>XXXXXX股份有限公司董事会</w:t>
      </w:r>
    </w:p>
    <w:p>
      <w:pPr>
        <w:spacing w:line="54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spacing w:beforeAutospacing="1" w:afterAutospacing="1"/>
        <w:jc w:val="left"/>
        <w:rPr>
          <w:rFonts w:ascii="仿宋" w:hAnsi="仿宋" w:eastAsia="仿宋"/>
          <w:b/>
          <w:kern w:val="44"/>
          <w:sz w:val="32"/>
          <w:szCs w:val="32"/>
        </w:rPr>
        <w:sectPr>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p>
    <w:bookmarkEnd w:id="56"/>
    <w:bookmarkEnd w:id="57"/>
    <w:bookmarkEnd w:id="58"/>
    <w:bookmarkEnd w:id="59"/>
    <w:bookmarkEnd w:id="60"/>
    <w:bookmarkEnd w:id="61"/>
    <w:p>
      <w:pPr>
        <w:keepNext/>
        <w:keepLines/>
        <w:spacing w:before="340" w:line="560" w:lineRule="exact"/>
        <w:jc w:val="center"/>
        <w:outlineLvl w:val="2"/>
        <w:rPr>
          <w:rFonts w:ascii="方正小标宋简体" w:hAnsi="仿宋" w:eastAsia="方正小标宋简体"/>
          <w:kern w:val="44"/>
          <w:sz w:val="44"/>
          <w:szCs w:val="44"/>
        </w:rPr>
      </w:pPr>
      <w:bookmarkStart w:id="62" w:name="_Toc2348661"/>
      <w:bookmarkStart w:id="63" w:name="_Toc527123157"/>
      <w:bookmarkStart w:id="64" w:name="_Toc527124302"/>
      <w:bookmarkStart w:id="65" w:name="_Toc2179933"/>
      <w:bookmarkStart w:id="66" w:name="_Toc40795950"/>
      <w:bookmarkStart w:id="67" w:name="_Toc2189917"/>
      <w:bookmarkStart w:id="68" w:name="_Toc15391925"/>
      <w:bookmarkStart w:id="69" w:name="_Toc2189150"/>
      <w:bookmarkStart w:id="70" w:name="_Toc40813221"/>
      <w:bookmarkStart w:id="71" w:name="_Toc60758291"/>
      <w:bookmarkStart w:id="72" w:name="_Toc91781147"/>
      <w:bookmarkStart w:id="73" w:name="_Toc91782428"/>
      <w:bookmarkStart w:id="74" w:name="_Toc30702"/>
      <w:bookmarkStart w:id="75" w:name="_Toc138173215"/>
      <w:bookmarkStart w:id="76" w:name="_Toc91607629"/>
      <w:r>
        <w:rPr>
          <w:rFonts w:hint="eastAsia" w:ascii="方正小标宋简体" w:hAnsi="仿宋" w:eastAsia="方正小标宋简体"/>
          <w:kern w:val="44"/>
          <w:sz w:val="44"/>
          <w:szCs w:val="44"/>
        </w:rPr>
        <w:t>股份变动类第6号　上市公司大股东及</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董事、监事、</w:t>
      </w:r>
      <w:bookmarkEnd w:id="62"/>
      <w:bookmarkEnd w:id="63"/>
      <w:bookmarkEnd w:id="64"/>
      <w:bookmarkEnd w:id="65"/>
      <w:bookmarkEnd w:id="66"/>
      <w:bookmarkEnd w:id="67"/>
      <w:bookmarkEnd w:id="68"/>
      <w:bookmarkEnd w:id="69"/>
      <w:r>
        <w:rPr>
          <w:rFonts w:hint="eastAsia" w:ascii="方正小标宋简体" w:hAnsi="仿宋" w:eastAsia="方正小标宋简体"/>
          <w:kern w:val="44"/>
          <w:sz w:val="44"/>
          <w:szCs w:val="44"/>
        </w:rPr>
        <w:t>高级管理人员增持股份计划</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及实施情况公告格式</w:t>
      </w:r>
      <w:bookmarkEnd w:id="70"/>
      <w:bookmarkEnd w:id="71"/>
      <w:bookmarkEnd w:id="72"/>
      <w:bookmarkEnd w:id="73"/>
      <w:bookmarkEnd w:id="74"/>
      <w:bookmarkEnd w:id="75"/>
      <w:bookmarkEnd w:id="76"/>
    </w:p>
    <w:p>
      <w:pPr>
        <w:snapToGrid w:val="0"/>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overflowPunct w:val="0"/>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上市公司控股股东、5%以上股东及其一致行动人（以下简称大股东）及董事、监事、高级管理人员（以下简称</w:t>
      </w:r>
      <w:r>
        <w:rPr>
          <w:rFonts w:hint="eastAsia" w:ascii="仿宋" w:hAnsi="仿宋" w:eastAsia="仿宋" w:cs="宋体"/>
          <w:kern w:val="0"/>
          <w:sz w:val="32"/>
          <w:szCs w:val="32"/>
        </w:rPr>
        <w:t>董监高</w:t>
      </w:r>
      <w:r>
        <w:rPr>
          <w:rFonts w:hint="eastAsia" w:ascii="仿宋" w:hAnsi="仿宋" w:eastAsia="仿宋"/>
          <w:sz w:val="32"/>
          <w:szCs w:val="32"/>
        </w:rPr>
        <w:t>）等主体自愿性披露股份增持计划的，以及本所《上市公司自律监管指引第10号——股份变动管理》规定的大股东、董监高在未披露股份增持计划的情况下，首次披露其股份增持情况并且拟继续增持的，应当适用本公告格式。</w:t>
      </w:r>
    </w:p>
    <w:p>
      <w:pPr>
        <w:overflowPunct w:val="0"/>
        <w:autoSpaceDE w:val="0"/>
        <w:autoSpaceDN w:val="0"/>
        <w:adjustRightInd w:val="0"/>
        <w:spacing w:line="560" w:lineRule="exact"/>
        <w:ind w:firstLine="640" w:firstLineChars="200"/>
        <w:rPr>
          <w:rFonts w:ascii="仿宋" w:hAnsi="仿宋" w:eastAsia="仿宋"/>
          <w:sz w:val="32"/>
          <w:szCs w:val="32"/>
        </w:rPr>
      </w:pPr>
    </w:p>
    <w:p>
      <w:pPr>
        <w:widowControl/>
        <w:adjustRightInd w:val="0"/>
        <w:spacing w:line="560" w:lineRule="exact"/>
        <w:ind w:right="360" w:firstLine="480" w:firstLineChars="150"/>
        <w:jc w:val="center"/>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360" w:lineRule="auto"/>
        <w:jc w:val="center"/>
        <w:rPr>
          <w:rFonts w:ascii="仿宋" w:hAnsi="仿宋" w:eastAsia="仿宋"/>
          <w:kern w:val="0"/>
          <w:sz w:val="32"/>
          <w:szCs w:val="32"/>
        </w:rPr>
      </w:pPr>
      <w:r>
        <w:rPr>
          <w:rFonts w:hint="eastAsia" w:ascii="仿宋" w:hAnsi="仿宋" w:eastAsia="仿宋"/>
          <w:kern w:val="0"/>
          <w:sz w:val="32"/>
          <w:szCs w:val="32"/>
        </w:rPr>
        <w:t>XXXXXX股份有限公司XX（计划增持主体）增持股份计划/进展/实施结果公告</w:t>
      </w:r>
    </w:p>
    <w:p>
      <w:pPr>
        <w:widowControl/>
        <w:spacing w:line="560" w:lineRule="exact"/>
        <w:rPr>
          <w:rFonts w:ascii="仿宋" w:hAnsi="仿宋" w:eastAsia="仿宋"/>
          <w:b/>
          <w:kern w:val="0"/>
          <w:sz w:val="32"/>
          <w:szCs w:val="32"/>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48260</wp:posOffset>
                </wp:positionV>
                <wp:extent cx="5915025" cy="1362075"/>
                <wp:effectExtent l="0" t="0" r="28575" b="28575"/>
                <wp:wrapNone/>
                <wp:docPr id="250" name="矩形 250"/>
                <wp:cNvGraphicFramePr/>
                <a:graphic xmlns:a="http://schemas.openxmlformats.org/drawingml/2006/main">
                  <a:graphicData uri="http://schemas.microsoft.com/office/word/2010/wordprocessingShape">
                    <wps:wsp>
                      <wps:cNvSpPr>
                        <a:spLocks noChangeArrowheads="1"/>
                      </wps:cNvSpPr>
                      <wps:spPr bwMode="auto">
                        <a:xfrm>
                          <a:off x="0" y="0"/>
                          <a:ext cx="5915025" cy="1362075"/>
                        </a:xfrm>
                        <a:prstGeom prst="rect">
                          <a:avLst/>
                        </a:prstGeom>
                        <a:solidFill>
                          <a:srgbClr val="FFFFFF"/>
                        </a:solidFill>
                        <a:ln w="9525">
                          <a:solidFill>
                            <a:srgbClr val="000000"/>
                          </a:solidFill>
                          <a:miter lim="800000"/>
                        </a:ln>
                      </wps:spPr>
                      <wps:txbx>
                        <w:txbxContent>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XX</w:t>
                            </w:r>
                            <w:r>
                              <w:rPr>
                                <w:rFonts w:hint="eastAsia" w:ascii="仿宋" w:hAnsi="仿宋" w:eastAsia="仿宋"/>
                                <w:kern w:val="0"/>
                                <w:sz w:val="32"/>
                                <w:szCs w:val="32"/>
                              </w:rPr>
                              <w:t>（计划增持主体）</w:t>
                            </w:r>
                            <w:r>
                              <w:rPr>
                                <w:rFonts w:hint="eastAsia" w:ascii="仿宋" w:hAnsi="仿宋" w:eastAsia="仿宋"/>
                                <w:sz w:val="32"/>
                                <w:szCs w:val="32"/>
                              </w:rPr>
                              <w:t>保证向本公司提供的信息内容真实、准确、完整，没有虚假记载、误导性陈述或重大遗漏。</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3.8pt;height:107.25pt;width:465.75pt;mso-position-horizontal:center;mso-position-horizontal-relative:margin;z-index:251664384;mso-width-relative:page;mso-height-relative:page;" fillcolor="#FFFFFF" filled="t" stroked="t" coordsize="21600,21600" o:gfxdata="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UrExTVAAAABgEAAA8AAAAAAAAAAQAgAAAAIgAAAGRycy9kb3ducmV2&#10;LnhtbFBLAQIUABQAAAAIAIdO4kD/z2NHOAIAAH8EAAAOAAAAAAAAAAEAIAAAACQBAABkcnMvZTJv&#10;RG9jLnhtbFBLBQYAAAAABgAGAFkBAADOBQAAAAA=&#10;">
                <v:fill on="t" focussize="0,0"/>
                <v:stroke color="#000000" miterlimit="8" joinstyle="miter"/>
                <v:imagedata o:title=""/>
                <o:lock v:ext="edit" aspectratio="f"/>
                <v:textbox>
                  <w:txbxContent>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XX</w:t>
                      </w:r>
                      <w:r>
                        <w:rPr>
                          <w:rFonts w:hint="eastAsia" w:ascii="仿宋" w:hAnsi="仿宋" w:eastAsia="仿宋"/>
                          <w:kern w:val="0"/>
                          <w:sz w:val="32"/>
                          <w:szCs w:val="32"/>
                        </w:rPr>
                        <w:t>（计划增持主体）</w:t>
                      </w:r>
                      <w:r>
                        <w:rPr>
                          <w:rFonts w:hint="eastAsia" w:ascii="仿宋" w:hAnsi="仿宋" w:eastAsia="仿宋"/>
                          <w:sz w:val="32"/>
                          <w:szCs w:val="32"/>
                        </w:rPr>
                        <w:t>保证向本公司提供的信息内容真实、准确、完整，没有虚假记载、误导性陈述或重大遗漏。</w:t>
                      </w:r>
                    </w:p>
                    <w:p>
                      <w:pPr>
                        <w:snapToGrid w:val="0"/>
                        <w:spacing w:line="48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widowControl/>
        <w:spacing w:line="560" w:lineRule="exact"/>
        <w:ind w:firstLine="822" w:firstLineChars="257"/>
        <w:rPr>
          <w:rFonts w:ascii="仿宋" w:hAnsi="仿宋" w:eastAsia="仿宋"/>
          <w:kern w:val="0"/>
          <w:sz w:val="32"/>
          <w:szCs w:val="32"/>
        </w:rPr>
      </w:pPr>
    </w:p>
    <w:p>
      <w:pPr>
        <w:adjustRightInd w:val="0"/>
        <w:snapToGrid w:val="0"/>
        <w:spacing w:line="560" w:lineRule="exact"/>
        <w:ind w:firstLine="643" w:firstLineChars="200"/>
        <w:rPr>
          <w:rFonts w:ascii="仿宋" w:hAnsi="仿宋" w:eastAsia="仿宋"/>
          <w:b/>
          <w:sz w:val="32"/>
          <w:szCs w:val="32"/>
        </w:rPr>
      </w:pPr>
    </w:p>
    <w:p>
      <w:pPr>
        <w:adjustRightInd w:val="0"/>
        <w:snapToGrid w:val="0"/>
        <w:spacing w:line="560" w:lineRule="exact"/>
        <w:ind w:firstLine="643" w:firstLineChars="200"/>
        <w:rPr>
          <w:rFonts w:ascii="仿宋" w:hAnsi="仿宋" w:eastAsia="仿宋"/>
          <w:b/>
          <w:sz w:val="32"/>
          <w:szCs w:val="32"/>
        </w:rPr>
      </w:pP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特别提示</w:t>
      </w:r>
      <w:r>
        <w:rPr>
          <w:rFonts w:hint="eastAsia" w:ascii="仿宋" w:hAnsi="仿宋" w:eastAsia="仿宋"/>
          <w:sz w:val="32"/>
          <w:szCs w:val="32"/>
        </w:rPr>
        <w:t>：</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1．拟增持股份的规模下限或区间、价格前提（如适用）、实施期限等情况。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2．增持计划实施情况（如适用）。</w:t>
      </w:r>
    </w:p>
    <w:p>
      <w:pPr>
        <w:adjustRightInd w:val="0"/>
        <w:spacing w:line="560" w:lineRule="exact"/>
        <w:ind w:left="480" w:firstLine="640" w:firstLineChars="200"/>
        <w:rPr>
          <w:rFonts w:ascii="仿宋" w:hAnsi="仿宋" w:eastAsia="仿宋"/>
          <w:sz w:val="32"/>
          <w:szCs w:val="32"/>
        </w:rPr>
      </w:pP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一、计划增持主体的基本情况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1．计划增持主体的姓名或名称，已持有本公司股份的数量、占公司总股本的比例。</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2．计划增持主体在本次公告前的12个月内已披露增持计划的</w:t>
      </w:r>
      <w:r>
        <w:rPr>
          <w:rFonts w:hint="eastAsia" w:ascii="仿宋" w:hAnsi="仿宋" w:eastAsia="仿宋"/>
          <w:sz w:val="32"/>
          <w:szCs w:val="32"/>
        </w:rPr>
        <w:t>（如有）</w:t>
      </w:r>
      <w:r>
        <w:rPr>
          <w:rFonts w:hint="eastAsia" w:ascii="仿宋" w:hAnsi="仿宋" w:eastAsia="仿宋"/>
          <w:kern w:val="0"/>
          <w:sz w:val="32"/>
          <w:szCs w:val="32"/>
        </w:rPr>
        <w:t>，应当披露其实施完成的情况。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kern w:val="0"/>
          <w:sz w:val="32"/>
          <w:szCs w:val="32"/>
        </w:rPr>
        <w:t>3．计划增持主体在本次公告前6个月的减持情况</w:t>
      </w:r>
      <w:r>
        <w:rPr>
          <w:rFonts w:hint="eastAsia" w:ascii="仿宋" w:hAnsi="仿宋" w:eastAsia="仿宋"/>
          <w:sz w:val="32"/>
          <w:szCs w:val="32"/>
        </w:rPr>
        <w:t>（如有）</w:t>
      </w:r>
      <w:r>
        <w:rPr>
          <w:rFonts w:hint="eastAsia" w:ascii="仿宋" w:hAnsi="仿宋" w:eastAsia="仿宋"/>
          <w:kern w:val="0"/>
          <w:sz w:val="32"/>
          <w:szCs w:val="32"/>
        </w:rPr>
        <w:t>，包括减持股数、价格等。</w:t>
      </w:r>
    </w:p>
    <w:p>
      <w:pPr>
        <w:widowControl/>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二、</w:t>
      </w:r>
      <w:r>
        <w:rPr>
          <w:rFonts w:hint="eastAsia" w:ascii="仿宋" w:hAnsi="仿宋" w:eastAsia="仿宋"/>
          <w:b/>
          <w:sz w:val="32"/>
          <w:szCs w:val="32"/>
        </w:rPr>
        <w:t>增持计划的主要内容</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1．本次拟增持股份的目的。增持目的应当结合上市公司实际经营、未来发展趋势及公司股价变化等情况予以说明。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2．本次拟增持股份的数量或金额。公告应明确说明拟增持股份数量或金额的下限或区间范围，且下限不得为零。区间范围应当具备合理性，且上限不得超出下限的1倍。</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本次拟增持股份的价格前提（如有）。如设置价格条件作为实施前提的，应当根据公司股票价格波动情况及市场整体走势予以审慎确定，确保增持计划具备可执行性。如披露的增持价格上限明显偏离当前的市场价格，应当详细说明原因。</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本次增持计划的实施期限。实施期限应结合敏感期等因素考虑可执行性，且自公告披露之日起不得超过6个月。增持计划实施期间，上市公司股票存在停牌情形的，增持期限可予以顺延，信息披露义务人应及时披露是否顺延实施。</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5．本次拟增持股份的方式。相关增持主体应当明确增持方式，包括集中竞价交易、大宗交易、协议转让等。</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6．本次增持是否基于其主体的特定身份，如丧失相关身份时是否继续实施本增持计划。</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7．本次增持股份是否存在锁定安排。如存在，请说明锁定期限。</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8．相关承诺。相关增持主体应当承诺在增持期间及法定期限内不减持公司股份以及将在上述实施期限内完成增持计划。</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9．公司及相关增持主体认为应当说明的其他事项。</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三、增持计划实施的不确定性风险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增持计划应当详细披露可能面临的不确定性风险及拟采取的应对措施。此外，在实施过程中如出现相关风险状况，应予以及时披露。</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1．因公司股价持续超出增持计划披露的价格区间（如有），导致增持计划无法实施的风险；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2．增持股份所需的资金未能筹措到位，导致增持计划无法实施的风险；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3．采用融资方式增持公司股份的，因股价持续下跌导致已增持股份被强制平仓的风险（如适用）。</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4．可能存在的其他风险。</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四、增持计划实施情况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拟定增持实施期限过半时，应披露增持进展情况。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1．概述增持计划的基本情况；</w:t>
      </w:r>
    </w:p>
    <w:p>
      <w:pPr>
        <w:widowControl/>
        <w:spacing w:line="560" w:lineRule="exact"/>
        <w:ind w:firstLine="640" w:firstLineChars="200"/>
        <w:rPr>
          <w:rFonts w:ascii="仿宋" w:hAnsi="仿宋" w:eastAsia="仿宋"/>
          <w:sz w:val="32"/>
          <w:szCs w:val="32"/>
        </w:rPr>
      </w:pPr>
      <w:r>
        <w:rPr>
          <w:rFonts w:hint="eastAsia" w:ascii="仿宋" w:hAnsi="仿宋" w:eastAsia="仿宋"/>
          <w:kern w:val="0"/>
          <w:sz w:val="32"/>
          <w:szCs w:val="32"/>
        </w:rPr>
        <w:t>2．</w:t>
      </w:r>
      <w:r>
        <w:rPr>
          <w:rFonts w:hint="eastAsia" w:ascii="仿宋" w:hAnsi="仿宋" w:eastAsia="仿宋"/>
          <w:sz w:val="32"/>
          <w:szCs w:val="32"/>
        </w:rPr>
        <w:t>已增持股份的数量及比例、增持方式（如集中竞价、大宗交易等）；</w:t>
      </w:r>
    </w:p>
    <w:p>
      <w:pPr>
        <w:widowControl/>
        <w:spacing w:line="560" w:lineRule="exact"/>
        <w:ind w:firstLine="640" w:firstLineChars="200"/>
        <w:rPr>
          <w:rFonts w:ascii="仿宋" w:hAnsi="仿宋" w:eastAsia="仿宋"/>
          <w:kern w:val="0"/>
          <w:sz w:val="32"/>
          <w:szCs w:val="32"/>
        </w:rPr>
      </w:pPr>
      <w:r>
        <w:rPr>
          <w:rFonts w:hint="eastAsia" w:ascii="仿宋" w:hAnsi="仿宋" w:eastAsia="仿宋"/>
          <w:sz w:val="32"/>
          <w:szCs w:val="32"/>
        </w:rPr>
        <w:t>3．</w:t>
      </w:r>
      <w:r>
        <w:rPr>
          <w:rFonts w:hint="eastAsia" w:ascii="仿宋" w:hAnsi="仿宋" w:eastAsia="仿宋"/>
          <w:kern w:val="0"/>
          <w:sz w:val="32"/>
          <w:szCs w:val="32"/>
        </w:rPr>
        <w:t>如</w:t>
      </w:r>
      <w:r>
        <w:rPr>
          <w:rFonts w:hint="eastAsia" w:ascii="仿宋" w:hAnsi="仿宋" w:eastAsia="仿宋"/>
          <w:sz w:val="32"/>
          <w:szCs w:val="32"/>
        </w:rPr>
        <w:t>增持计划实施</w:t>
      </w:r>
      <w:r>
        <w:rPr>
          <w:rFonts w:hint="eastAsia" w:ascii="仿宋" w:hAnsi="仿宋" w:eastAsia="仿宋"/>
          <w:kern w:val="0"/>
          <w:sz w:val="32"/>
          <w:szCs w:val="32"/>
        </w:rPr>
        <w:t>期限过半时仍未实施增持的，应当详细披露原因及后续安排。</w:t>
      </w:r>
    </w:p>
    <w:p>
      <w:pPr>
        <w:widowControl/>
        <w:spacing w:line="560" w:lineRule="exact"/>
        <w:ind w:firstLine="640" w:firstLineChars="200"/>
        <w:rPr>
          <w:rFonts w:ascii="仿宋" w:hAnsi="仿宋" w:eastAsia="仿宋"/>
          <w:sz w:val="32"/>
          <w:szCs w:val="32"/>
        </w:rPr>
      </w:pPr>
      <w:r>
        <w:rPr>
          <w:rFonts w:hint="eastAsia" w:ascii="仿宋" w:hAnsi="仿宋" w:eastAsia="仿宋"/>
          <w:kern w:val="0"/>
          <w:sz w:val="32"/>
          <w:szCs w:val="32"/>
        </w:rPr>
        <w:t>4．</w:t>
      </w:r>
      <w:r>
        <w:rPr>
          <w:rFonts w:hint="eastAsia" w:ascii="仿宋" w:hAnsi="仿宋" w:eastAsia="仿宋"/>
          <w:sz w:val="32"/>
          <w:szCs w:val="32"/>
        </w:rPr>
        <w:t>增持行为将严格遵守《证券法》《收购管理办法》等法律法规、本所相关规定的说明；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sz w:val="32"/>
          <w:szCs w:val="32"/>
        </w:rPr>
        <w:t>5．本所要求的其他内容。</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增持实施期限届满或完成预定增持计划后，应及时披露增持计划实施结果，包括增持股份数量、金额、增持前后的持股数量及持股比例变动。如增持期间届满仍未达到计划增持数量或金额下限的，应当公告说明原因。</w:t>
      </w:r>
    </w:p>
    <w:p>
      <w:pPr>
        <w:tabs>
          <w:tab w:val="left" w:pos="18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五、其他相关说明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1．公告应明确说明本次增持是否会导致公司股权分布不符合上市条件，是否会导致公司控制权发生变化。</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2．计划增持主体限定了最低增持价格或股份数量的，应明确说明在发生除权除息等事项时的调整方式。</w:t>
      </w:r>
    </w:p>
    <w:p>
      <w:pPr>
        <w:tabs>
          <w:tab w:val="left" w:pos="18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六、备查文件</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1．增持主体关于增持计划/进展/实施结果的书面说明；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2．深交所要求的其他文件。</w:t>
      </w:r>
    </w:p>
    <w:p>
      <w:pPr>
        <w:widowControl/>
        <w:spacing w:line="560" w:lineRule="exact"/>
        <w:ind w:firstLine="640" w:firstLineChars="200"/>
        <w:rPr>
          <w:rFonts w:ascii="仿宋" w:hAnsi="仿宋" w:eastAsia="仿宋"/>
          <w:kern w:val="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cs="宋体"/>
          <w:kern w:val="0"/>
          <w:sz w:val="32"/>
          <w:szCs w:val="32"/>
        </w:rPr>
      </w:pPr>
      <w:r>
        <w:rPr>
          <w:rFonts w:hint="eastAsia" w:ascii="仿宋" w:hAnsi="仿宋" w:eastAsia="仿宋"/>
          <w:sz w:val="32"/>
          <w:szCs w:val="32"/>
        </w:rPr>
        <w:t>XXXX年XX月XX</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b/>
          <w:sz w:val="32"/>
          <w:szCs w:val="32"/>
        </w:rPr>
        <w:br w:type="page"/>
      </w:r>
      <w:bookmarkStart w:id="77" w:name="_Toc40795955"/>
      <w:bookmarkStart w:id="78" w:name="_Toc138173216"/>
      <w:bookmarkStart w:id="79" w:name="_Toc60758296"/>
      <w:bookmarkStart w:id="80" w:name="_Toc32085"/>
      <w:bookmarkStart w:id="81" w:name="_Toc91607630"/>
      <w:bookmarkStart w:id="82" w:name="_Toc91782429"/>
      <w:bookmarkStart w:id="83" w:name="_Toc40813226"/>
      <w:bookmarkStart w:id="84" w:name="_Toc91781148"/>
      <w:r>
        <w:rPr>
          <w:rFonts w:hint="eastAsia" w:ascii="方正小标宋简体" w:hAnsi="仿宋" w:eastAsia="方正小标宋简体"/>
          <w:kern w:val="44"/>
          <w:sz w:val="44"/>
          <w:szCs w:val="44"/>
        </w:rPr>
        <w:t>股份变动类第7号　上市公司5%以上股东</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持股增减变动1%的公告格式</w:t>
      </w:r>
      <w:bookmarkEnd w:id="77"/>
      <w:bookmarkEnd w:id="78"/>
      <w:bookmarkEnd w:id="79"/>
      <w:bookmarkEnd w:id="80"/>
      <w:bookmarkEnd w:id="81"/>
      <w:bookmarkEnd w:id="82"/>
      <w:bookmarkEnd w:id="83"/>
      <w:bookmarkEnd w:id="84"/>
    </w:p>
    <w:p>
      <w:pPr>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填表说明：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根据《证券法》第六十三条、《上市公司收购管理办法》第十三条的规定，投资者通过证券交易所的证券交易方式持股每增加或者减少1%且未触及中国证监会规定需编制并公告权益变动报告书、收购报告书等情形而披露提示性公告的，按本公告格式进行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2．投资者及其一致行动人共同拥有同一个上市公司权益的股份比例应当合并计算。存在一致行动人的，按不同名称/姓名分别列示权益变动及变动前后情况。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3．对于同时存在增持股份、减持股份情形的，应当分别披露增持和减持情况。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4．5%以上股东投资者需按照本所《上市公司收购管理办法（2020年修订）》第十三条的规定在权益变动行为完成后3个交易日内就股份增持情况作出结果公告的，按本公告格式进行披露。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按照本公告格式披露提示性公告或者按照中国证监会相关要求披露权益变动报告书、收购报告书、要约收购报告书之日起的六个月内，需再次按照本公告格式披露提示性公告的，可以仅就与前次公告不同的部分进行披露。</w:t>
      </w:r>
    </w:p>
    <w:p>
      <w:pPr>
        <w:widowControl/>
        <w:jc w:val="left"/>
        <w:rPr>
          <w:rFonts w:ascii="仿宋" w:hAnsi="仿宋" w:eastAsia="仿宋"/>
          <w:kern w:val="0"/>
          <w:sz w:val="32"/>
          <w:szCs w:val="32"/>
        </w:rPr>
      </w:pPr>
      <w:r>
        <w:rPr>
          <w:rFonts w:hint="eastAsia" w:ascii="仿宋" w:hAnsi="仿宋" w:eastAsia="仿宋"/>
          <w:kern w:val="0"/>
          <w:sz w:val="32"/>
          <w:szCs w:val="32"/>
        </w:rPr>
        <w:br w:type="page"/>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XXXXXX股份有限公司XX股东增持/减持股份达到或者超过1%的公告</w:t>
      </w:r>
    </w:p>
    <w:p>
      <w:pPr>
        <w:adjustRightInd w:val="0"/>
        <w:snapToGri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133350</wp:posOffset>
                </wp:positionV>
                <wp:extent cx="5915025" cy="1247775"/>
                <wp:effectExtent l="0" t="0" r="28575" b="28575"/>
                <wp:wrapNone/>
                <wp:docPr id="249" name="矩形 249"/>
                <wp:cNvGraphicFramePr/>
                <a:graphic xmlns:a="http://schemas.openxmlformats.org/drawingml/2006/main">
                  <a:graphicData uri="http://schemas.microsoft.com/office/word/2010/wordprocessingShape">
                    <wps:wsp>
                      <wps:cNvSpPr>
                        <a:spLocks noChangeArrowheads="1"/>
                      </wps:cNvSpPr>
                      <wps:spPr bwMode="auto">
                        <a:xfrm>
                          <a:off x="0" y="0"/>
                          <a:ext cx="5915025" cy="124777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p>
                            <w:pPr>
                              <w:snapToGrid w:val="0"/>
                              <w:spacing w:line="480" w:lineRule="exact"/>
                              <w:ind w:firstLine="540"/>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5pt;height:98.25pt;width:465.75pt;mso-position-horizontal:center;mso-position-horizontal-relative:margin;z-index:251665408;mso-width-relative:page;mso-height-relative:page;" fillcolor="#FFFFFF" filled="t" stroked="t" coordsize="21600,21600" o:gfxdata="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jhfT1gAAAAcBAAAPAAAAAAAAAAEAIAAAACIAAABkcnMvZG93bnJl&#10;di54bWxQSwECFAAUAAAACACHTuJAiJ1cfDgCAAB/BAAADgAAAAAAAAABACAAAAAlAQAAZHJzL2Uy&#10;b0RvYy54bWxQSwUGAAAAAAYABgBZAQAAzw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本公司及董事会全体成员保证公告内容与信息披露义务人提供的信息一致。</w:t>
                      </w:r>
                    </w:p>
                    <w:p>
                      <w:pPr>
                        <w:snapToGrid w:val="0"/>
                        <w:spacing w:line="480" w:lineRule="exact"/>
                        <w:ind w:firstLine="540"/>
                        <w:rPr>
                          <w:rFonts w:ascii="仿宋" w:hAnsi="仿宋" w:eastAsia="仿宋"/>
                          <w:sz w:val="32"/>
                          <w:szCs w:val="32"/>
                        </w:rPr>
                      </w:pPr>
                    </w:p>
                  </w:txbxContent>
                </v:textbox>
              </v:rect>
            </w:pict>
          </mc:Fallback>
        </mc:AlternateContent>
      </w:r>
    </w:p>
    <w:p>
      <w:pPr>
        <w:widowControl/>
        <w:spacing w:line="540" w:lineRule="exact"/>
        <w:rPr>
          <w:rFonts w:ascii="仿宋" w:hAnsi="仿宋" w:eastAsia="仿宋"/>
          <w:b/>
          <w:bCs/>
          <w:kern w:val="0"/>
          <w:sz w:val="32"/>
          <w:szCs w:val="32"/>
        </w:rPr>
      </w:pPr>
    </w:p>
    <w:p>
      <w:pPr>
        <w:widowControl/>
        <w:spacing w:line="540" w:lineRule="exact"/>
        <w:rPr>
          <w:rFonts w:ascii="仿宋" w:hAnsi="仿宋" w:eastAsia="仿宋"/>
          <w:sz w:val="32"/>
          <w:szCs w:val="32"/>
        </w:rPr>
      </w:pPr>
    </w:p>
    <w:p>
      <w:pPr>
        <w:widowControl/>
        <w:spacing w:line="540" w:lineRule="exact"/>
        <w:ind w:firstLine="6880" w:firstLineChars="2150"/>
        <w:jc w:val="right"/>
        <w:rPr>
          <w:rFonts w:ascii="仿宋" w:hAnsi="仿宋" w:eastAsia="仿宋"/>
          <w:kern w:val="0"/>
          <w:sz w:val="32"/>
          <w:szCs w:val="32"/>
        </w:rPr>
      </w:pPr>
    </w:p>
    <w:p>
      <w:pPr>
        <w:widowControl/>
        <w:spacing w:line="540" w:lineRule="exact"/>
        <w:ind w:firstLine="6880" w:firstLineChars="2150"/>
        <w:jc w:val="right"/>
        <w:rPr>
          <w:rFonts w:ascii="仿宋" w:hAnsi="仿宋" w:eastAsia="仿宋"/>
          <w:kern w:val="0"/>
          <w:sz w:val="32"/>
          <w:szCs w:val="32"/>
        </w:rPr>
      </w:pP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248"/>
        <w:gridCol w:w="259"/>
        <w:gridCol w:w="755"/>
        <w:gridCol w:w="380"/>
        <w:gridCol w:w="138"/>
        <w:gridCol w:w="1566"/>
        <w:gridCol w:w="326"/>
        <w:gridCol w:w="961"/>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宋体"/>
                <w:b/>
                <w:color w:val="000000"/>
                <w:kern w:val="0"/>
                <w:sz w:val="24"/>
                <w:szCs w:val="24"/>
              </w:rPr>
              <w:t>1．基本情况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kern w:val="0"/>
                <w:sz w:val="24"/>
                <w:szCs w:val="24"/>
              </w:rPr>
            </w:pPr>
            <w:r>
              <w:rPr>
                <w:rFonts w:hint="eastAsia" w:ascii="仿宋" w:hAnsi="仿宋" w:eastAsia="仿宋" w:cs="宋体"/>
                <w:color w:val="000000"/>
                <w:kern w:val="0"/>
                <w:sz w:val="24"/>
                <w:szCs w:val="24"/>
              </w:rPr>
              <w:t>信息披露义务人</w:t>
            </w:r>
          </w:p>
        </w:tc>
        <w:tc>
          <w:tcPr>
            <w:tcW w:w="3461" w:type="pct"/>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住所</w:t>
            </w:r>
          </w:p>
        </w:tc>
        <w:tc>
          <w:tcPr>
            <w:tcW w:w="3461" w:type="pct"/>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权益变动时间</w:t>
            </w:r>
          </w:p>
        </w:tc>
        <w:tc>
          <w:tcPr>
            <w:tcW w:w="3461" w:type="pct"/>
            <w:gridSpan w:val="7"/>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股票简称</w:t>
            </w:r>
          </w:p>
        </w:tc>
        <w:tc>
          <w:tcPr>
            <w:tcW w:w="1550"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c>
          <w:tcPr>
            <w:tcW w:w="9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股票代码</w:t>
            </w:r>
          </w:p>
        </w:tc>
        <w:tc>
          <w:tcPr>
            <w:tcW w:w="179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5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变动类型（可多选）</w:t>
            </w:r>
          </w:p>
        </w:tc>
        <w:tc>
          <w:tcPr>
            <w:tcW w:w="1550"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增加□  减少□</w:t>
            </w:r>
          </w:p>
        </w:tc>
        <w:tc>
          <w:tcPr>
            <w:tcW w:w="9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一致行动人</w:t>
            </w:r>
          </w:p>
        </w:tc>
        <w:tc>
          <w:tcPr>
            <w:tcW w:w="1796"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20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是否为第一大股东或实际控制人</w:t>
            </w:r>
          </w:p>
        </w:tc>
        <w:tc>
          <w:tcPr>
            <w:tcW w:w="2792"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宋体"/>
                <w:b/>
                <w:color w:val="000000"/>
                <w:kern w:val="0"/>
                <w:sz w:val="24"/>
                <w:szCs w:val="24"/>
              </w:rPr>
              <w:t>2．本次权益变动情况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4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股份种类（A股、B股等）</w:t>
            </w:r>
          </w:p>
        </w:tc>
        <w:tc>
          <w:tcPr>
            <w:tcW w:w="1857"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增持/减持股数（万股）</w:t>
            </w:r>
          </w:p>
        </w:tc>
        <w:tc>
          <w:tcPr>
            <w:tcW w:w="16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增持/减持比例（%）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4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857"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6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4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857"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6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4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b/>
                <w:color w:val="000000"/>
                <w:sz w:val="24"/>
                <w:szCs w:val="24"/>
              </w:rPr>
              <w:t>合  计</w:t>
            </w:r>
          </w:p>
        </w:tc>
        <w:tc>
          <w:tcPr>
            <w:tcW w:w="1857"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6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color w:val="000000"/>
                <w:sz w:val="24"/>
                <w:szCs w:val="24"/>
              </w:rPr>
              <w:t>本次权益变动方式（可多选）</w:t>
            </w:r>
          </w:p>
        </w:tc>
        <w:tc>
          <w:tcPr>
            <w:tcW w:w="3461" w:type="pct"/>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通过证券交易所的集中交易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通过证券交易所的大宗交易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                       □（请注明）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olor w:val="000000"/>
                <w:sz w:val="24"/>
                <w:szCs w:val="24"/>
              </w:rPr>
              <w:t>本次增持股份的资金来源（可多选）</w:t>
            </w:r>
          </w:p>
        </w:tc>
        <w:tc>
          <w:tcPr>
            <w:tcW w:w="3461" w:type="pct"/>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 xml:space="preserve">自有资金          □         银行贷款      □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其他金融机构借款  □         股东投资款    □</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其他              □（请注明）</w:t>
            </w:r>
          </w:p>
          <w:p>
            <w:pPr>
              <w:ind w:firstLine="240" w:firstLineChars="100"/>
              <w:rPr>
                <w:rFonts w:ascii="仿宋" w:hAnsi="仿宋" w:eastAsia="仿宋" w:cs="宋体"/>
                <w:color w:val="000000"/>
                <w:sz w:val="24"/>
                <w:szCs w:val="24"/>
              </w:rPr>
            </w:pPr>
            <w:r>
              <w:rPr>
                <w:rFonts w:hint="eastAsia" w:ascii="仿宋" w:hAnsi="仿宋" w:eastAsia="仿宋" w:cs="宋体"/>
                <w:color w:val="000000"/>
                <w:sz w:val="24"/>
                <w:szCs w:val="24"/>
              </w:rPr>
              <w:t>不涉及资金来源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color w:val="000000"/>
                <w:sz w:val="24"/>
                <w:szCs w:val="24"/>
              </w:rPr>
            </w:pPr>
            <w:r>
              <w:rPr>
                <w:rFonts w:hint="eastAsia" w:ascii="仿宋" w:hAnsi="仿宋" w:eastAsia="仿宋"/>
                <w:b/>
                <w:color w:val="000000"/>
                <w:sz w:val="24"/>
                <w:szCs w:val="24"/>
              </w:rPr>
              <w:t>3．</w:t>
            </w:r>
            <w:r>
              <w:rPr>
                <w:rFonts w:hint="eastAsia" w:ascii="仿宋" w:hAnsi="仿宋" w:eastAsia="仿宋"/>
                <w:b/>
                <w:sz w:val="24"/>
                <w:szCs w:val="24"/>
              </w:rPr>
              <w:t>本次变动前后，</w:t>
            </w:r>
            <w:r>
              <w:rPr>
                <w:rFonts w:hint="eastAsia" w:ascii="仿宋" w:hAnsi="仿宋" w:eastAsia="仿宋"/>
                <w:b/>
                <w:color w:val="000000"/>
                <w:sz w:val="24"/>
                <w:szCs w:val="24"/>
              </w:rPr>
              <w:t>投资者及其一致行动人拥有上市公司权益的股份情况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s="宋体"/>
                <w:color w:val="000000"/>
                <w:kern w:val="0"/>
                <w:sz w:val="24"/>
                <w:szCs w:val="24"/>
              </w:rPr>
              <w:t>股份性质</w:t>
            </w:r>
          </w:p>
        </w:tc>
        <w:tc>
          <w:tcPr>
            <w:tcW w:w="1666"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本次变动前持有股份</w:t>
            </w:r>
          </w:p>
        </w:tc>
        <w:tc>
          <w:tcPr>
            <w:tcW w:w="1796" w:type="pct"/>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本次变动后持有股份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p>
        </w:tc>
        <w:tc>
          <w:tcPr>
            <w:tcW w:w="7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股数(万股)</w:t>
            </w: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占总股本比例(%)</w:t>
            </w:r>
          </w:p>
        </w:tc>
        <w:tc>
          <w:tcPr>
            <w:tcW w:w="7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股数(万股)</w:t>
            </w: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r>
              <w:rPr>
                <w:rFonts w:hint="eastAsia" w:ascii="仿宋" w:hAnsi="仿宋" w:eastAsia="仿宋" w:cs="宋体"/>
                <w:color w:val="000000"/>
                <w:kern w:val="0"/>
                <w:sz w:val="24"/>
                <w:szCs w:val="24"/>
              </w:rPr>
              <w:t>占总股本比例(%)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合计持有股份</w:t>
            </w:r>
          </w:p>
        </w:tc>
        <w:tc>
          <w:tcPr>
            <w:tcW w:w="7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7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其中：无限售条件股份</w:t>
            </w:r>
          </w:p>
        </w:tc>
        <w:tc>
          <w:tcPr>
            <w:tcW w:w="7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7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3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 xml:space="preserve">     有限售条件股份</w:t>
            </w:r>
          </w:p>
        </w:tc>
        <w:tc>
          <w:tcPr>
            <w:tcW w:w="74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9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75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c>
          <w:tcPr>
            <w:tcW w:w="104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sz w:val="24"/>
                <w:szCs w:val="24"/>
              </w:rPr>
            </w:pPr>
            <w:r>
              <w:rPr>
                <w:rFonts w:hint="eastAsia" w:ascii="仿宋" w:hAnsi="仿宋" w:eastAsia="仿宋"/>
                <w:b/>
                <w:color w:val="000000"/>
                <w:sz w:val="24"/>
                <w:szCs w:val="24"/>
              </w:rPr>
              <w:t>4．</w:t>
            </w:r>
            <w:r>
              <w:rPr>
                <w:rFonts w:hint="eastAsia" w:ascii="仿宋" w:hAnsi="仿宋" w:eastAsia="仿宋"/>
                <w:b/>
                <w:sz w:val="24"/>
                <w:szCs w:val="24"/>
              </w:rPr>
              <w:t>承诺、计划等履行情况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9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sz w:val="24"/>
                <w:szCs w:val="24"/>
              </w:rPr>
              <w:t>本次变动是否为履行已作出的承诺、意向、计划</w:t>
            </w:r>
          </w:p>
        </w:tc>
        <w:tc>
          <w:tcPr>
            <w:tcW w:w="361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s="宋体"/>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承诺、意向、计划的具体情况及履行进度。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9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 w:val="24"/>
                <w:szCs w:val="24"/>
              </w:rPr>
            </w:pPr>
            <w:r>
              <w:rPr>
                <w:rFonts w:hint="eastAsia" w:ascii="仿宋" w:hAnsi="仿宋" w:eastAsia="仿宋"/>
                <w:sz w:val="24"/>
                <w:szCs w:val="24"/>
              </w:rPr>
              <w:t>本次变动是否存在违反《证券法》《上市公司收购管理办法》等法律、行政法规、部门规章、规范性文件和本所业务规则等规定的情况</w:t>
            </w:r>
          </w:p>
        </w:tc>
        <w:tc>
          <w:tcPr>
            <w:tcW w:w="361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s="宋体"/>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违规的具体情况、整改计划和处理措施。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b/>
                <w:sz w:val="24"/>
                <w:szCs w:val="24"/>
              </w:rPr>
              <w:t>5．被限制表决权的股份情况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9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r>
              <w:rPr>
                <w:rFonts w:hint="eastAsia" w:ascii="仿宋" w:hAnsi="仿宋" w:eastAsia="仿宋"/>
                <w:sz w:val="24"/>
                <w:szCs w:val="24"/>
              </w:rPr>
              <w:t>按照《证券法》第六十三条的规定，是否存在不得行使表决权的股份</w:t>
            </w:r>
          </w:p>
        </w:tc>
        <w:tc>
          <w:tcPr>
            <w:tcW w:w="361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p>
            <w:pPr>
              <w:jc w:val="center"/>
              <w:rPr>
                <w:rFonts w:ascii="仿宋" w:hAnsi="仿宋" w:eastAsia="仿宋"/>
                <w:color w:val="000000"/>
                <w:sz w:val="24"/>
                <w:szCs w:val="24"/>
              </w:rPr>
            </w:pPr>
            <w:r>
              <w:rPr>
                <w:rFonts w:hint="eastAsia" w:ascii="仿宋" w:hAnsi="仿宋" w:eastAsia="仿宋"/>
                <w:color w:val="000000"/>
                <w:sz w:val="24"/>
                <w:szCs w:val="24"/>
              </w:rPr>
              <w:t>如是，请说明</w:t>
            </w:r>
            <w:r>
              <w:rPr>
                <w:rFonts w:hint="eastAsia" w:ascii="仿宋" w:hAnsi="仿宋" w:eastAsia="仿宋"/>
                <w:sz w:val="24"/>
                <w:szCs w:val="24"/>
              </w:rPr>
              <w:t>对应股份数量及占现有上市公司股本的比例。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b/>
                <w:color w:val="000000"/>
                <w:sz w:val="24"/>
                <w:szCs w:val="24"/>
              </w:rPr>
              <w:t>6．</w:t>
            </w:r>
            <w:r>
              <w:rPr>
                <w:rFonts w:hint="eastAsia" w:ascii="仿宋" w:hAnsi="仿宋" w:eastAsia="仿宋"/>
                <w:b/>
                <w:kern w:val="0"/>
                <w:sz w:val="24"/>
                <w:szCs w:val="24"/>
              </w:rPr>
              <w:t>30%以上股东增持股份的说明（如适用）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985" w:type="pct"/>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szCs w:val="24"/>
              </w:rPr>
            </w:pPr>
            <w:r>
              <w:rPr>
                <w:rFonts w:hint="eastAsia" w:ascii="仿宋" w:hAnsi="仿宋" w:eastAsia="仿宋"/>
                <w:sz w:val="24"/>
                <w:szCs w:val="24"/>
              </w:rPr>
              <w:t>本次增持是否符合《上市公司收购管理办法》规定的免于要约收购的情形</w:t>
            </w:r>
          </w:p>
        </w:tc>
        <w:tc>
          <w:tcPr>
            <w:tcW w:w="3015"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r>
              <w:rPr>
                <w:rFonts w:hint="eastAsia" w:ascii="仿宋" w:hAnsi="仿宋" w:eastAsia="仿宋"/>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985" w:type="pct"/>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股东及其一致行动人法定期限内不减持公司股份的承诺</w:t>
            </w:r>
          </w:p>
        </w:tc>
        <w:tc>
          <w:tcPr>
            <w:tcW w:w="3015"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b/>
                <w:color w:val="000000"/>
                <w:sz w:val="24"/>
                <w:szCs w:val="24"/>
              </w:rPr>
              <w:t>7．备查文件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4"/>
                <w:szCs w:val="24"/>
              </w:rPr>
            </w:pPr>
            <w:r>
              <w:rPr>
                <w:rFonts w:hint="eastAsia" w:ascii="仿宋" w:hAnsi="仿宋" w:eastAsia="仿宋"/>
                <w:kern w:val="0"/>
                <w:sz w:val="24"/>
                <w:szCs w:val="24"/>
              </w:rPr>
              <w:t>1</w:t>
            </w:r>
            <w:r>
              <w:rPr>
                <w:rFonts w:hint="eastAsia" w:ascii="仿宋" w:hAnsi="仿宋" w:eastAsia="仿宋"/>
                <w:color w:val="000000"/>
                <w:kern w:val="0"/>
                <w:sz w:val="24"/>
                <w:szCs w:val="24"/>
              </w:rPr>
              <w:t>．</w:t>
            </w:r>
            <w:r>
              <w:rPr>
                <w:rFonts w:hint="eastAsia" w:ascii="仿宋" w:hAnsi="仿宋" w:eastAsia="仿宋"/>
                <w:kern w:val="0"/>
                <w:sz w:val="24"/>
                <w:szCs w:val="24"/>
              </w:rPr>
              <w:t xml:space="preserve">中国证券登记结算有限责任公司持股变动明细  </w:t>
            </w:r>
            <w:r>
              <w:rPr>
                <w:rFonts w:hint="eastAsia" w:ascii="仿宋" w:hAnsi="仿宋" w:eastAsia="仿宋"/>
                <w:color w:val="000000"/>
                <w:sz w:val="24"/>
                <w:szCs w:val="24"/>
              </w:rPr>
              <w:t>□</w:t>
            </w:r>
          </w:p>
          <w:p>
            <w:pPr>
              <w:widowControl/>
              <w:rPr>
                <w:rFonts w:ascii="仿宋" w:hAnsi="仿宋" w:eastAsia="仿宋"/>
                <w:kern w:val="0"/>
                <w:sz w:val="24"/>
                <w:szCs w:val="24"/>
              </w:rPr>
            </w:pPr>
            <w:r>
              <w:rPr>
                <w:rFonts w:hint="eastAsia" w:ascii="仿宋" w:hAnsi="仿宋" w:eastAsia="仿宋"/>
                <w:kern w:val="0"/>
                <w:sz w:val="24"/>
                <w:szCs w:val="24"/>
              </w:rPr>
              <w:t>2</w:t>
            </w:r>
            <w:r>
              <w:rPr>
                <w:rFonts w:hint="eastAsia" w:ascii="仿宋" w:hAnsi="仿宋" w:eastAsia="仿宋"/>
                <w:color w:val="000000"/>
                <w:kern w:val="0"/>
                <w:sz w:val="24"/>
                <w:szCs w:val="24"/>
              </w:rPr>
              <w:t>．</w:t>
            </w:r>
            <w:r>
              <w:rPr>
                <w:rFonts w:hint="eastAsia" w:ascii="仿宋" w:hAnsi="仿宋" w:eastAsia="仿宋"/>
                <w:kern w:val="0"/>
                <w:sz w:val="24"/>
                <w:szCs w:val="24"/>
              </w:rPr>
              <w:t xml:space="preserve">相关书面承诺文件                          </w:t>
            </w:r>
            <w:r>
              <w:rPr>
                <w:rFonts w:hint="eastAsia" w:ascii="仿宋" w:hAnsi="仿宋" w:eastAsia="仿宋"/>
                <w:color w:val="000000"/>
                <w:sz w:val="24"/>
                <w:szCs w:val="24"/>
              </w:rPr>
              <w:t>□</w:t>
            </w:r>
          </w:p>
          <w:p>
            <w:pPr>
              <w:widowControl/>
              <w:rPr>
                <w:rFonts w:ascii="仿宋" w:hAnsi="仿宋" w:eastAsia="仿宋"/>
                <w:kern w:val="0"/>
                <w:sz w:val="24"/>
                <w:szCs w:val="24"/>
              </w:rPr>
            </w:pPr>
            <w:r>
              <w:rPr>
                <w:rFonts w:hint="eastAsia" w:ascii="仿宋" w:hAnsi="仿宋" w:eastAsia="仿宋"/>
                <w:kern w:val="0"/>
                <w:sz w:val="24"/>
                <w:szCs w:val="24"/>
              </w:rPr>
              <w:t>3．律师的书面意见                            □</w:t>
            </w:r>
          </w:p>
          <w:p>
            <w:pPr>
              <w:widowControl/>
              <w:rPr>
                <w:rFonts w:ascii="仿宋" w:hAnsi="仿宋" w:eastAsia="仿宋"/>
                <w:color w:val="000000"/>
                <w:sz w:val="24"/>
                <w:szCs w:val="24"/>
              </w:rPr>
            </w:pPr>
            <w:r>
              <w:rPr>
                <w:rFonts w:hint="eastAsia" w:ascii="仿宋" w:hAnsi="仿宋" w:eastAsia="仿宋"/>
                <w:kern w:val="0"/>
                <w:sz w:val="24"/>
                <w:szCs w:val="24"/>
              </w:rPr>
              <w:t>4．深交所要求的其他文件                      □</w:t>
            </w:r>
          </w:p>
        </w:tc>
      </w:tr>
    </w:tbl>
    <w:p>
      <w:pPr>
        <w:spacing w:line="560" w:lineRule="exact"/>
        <w:ind w:firstLine="4160"/>
        <w:jc w:val="right"/>
        <w:rPr>
          <w:rFonts w:ascii="仿宋" w:hAnsi="仿宋" w:eastAsia="仿宋"/>
          <w:sz w:val="32"/>
          <w:szCs w:val="32"/>
        </w:rPr>
      </w:pPr>
      <w:r>
        <w:rPr>
          <w:rFonts w:hint="eastAsia" w:ascii="仿宋" w:hAnsi="仿宋" w:eastAsia="仿宋"/>
          <w:sz w:val="32"/>
          <w:szCs w:val="32"/>
        </w:rPr>
        <w:t>信息披露义务人                          XXXX年XX月XX日</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85" w:name="_Toc5785"/>
      <w:bookmarkStart w:id="86" w:name="_Toc91781149"/>
      <w:bookmarkStart w:id="87" w:name="_Toc91782430"/>
      <w:bookmarkStart w:id="88" w:name="_Toc91607631"/>
      <w:bookmarkStart w:id="89" w:name="_Toc40795932"/>
      <w:bookmarkStart w:id="90" w:name="_Toc60758273"/>
      <w:bookmarkStart w:id="91" w:name="_Toc138173217"/>
      <w:bookmarkStart w:id="92" w:name="_Toc40813203"/>
      <w:r>
        <w:rPr>
          <w:rFonts w:hint="eastAsia" w:ascii="方正小标宋简体" w:hAnsi="仿宋" w:eastAsia="方正小标宋简体"/>
          <w:kern w:val="44"/>
          <w:sz w:val="44"/>
          <w:szCs w:val="44"/>
        </w:rPr>
        <w:t>公司治理类第1号　上市公司董事会决议</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85"/>
      <w:bookmarkEnd w:id="86"/>
      <w:bookmarkEnd w:id="87"/>
      <w:bookmarkEnd w:id="88"/>
      <w:bookmarkEnd w:id="89"/>
      <w:bookmarkEnd w:id="90"/>
      <w:bookmarkEnd w:id="91"/>
      <w:bookmarkEnd w:id="92"/>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265" w:firstLineChars="83"/>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XXXXXX股份有限公司董事会决议公告</w:t>
      </w:r>
    </w:p>
    <w:p>
      <w:pPr>
        <w:autoSpaceDE w:val="0"/>
        <w:autoSpaceDN w:val="0"/>
        <w:adjustRightInd w:val="0"/>
        <w:spacing w:line="560" w:lineRule="exact"/>
        <w:ind w:right="360"/>
        <w:rPr>
          <w:rFonts w:ascii="仿宋" w:hAnsi="仿宋" w:eastAsia="仿宋"/>
          <w:sz w:val="32"/>
          <w:szCs w:val="32"/>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139700</wp:posOffset>
                </wp:positionV>
                <wp:extent cx="5915025" cy="1628775"/>
                <wp:effectExtent l="0" t="0" r="28575" b="28575"/>
                <wp:wrapNone/>
                <wp:docPr id="248" name="矩形 248"/>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pt;height:128.25pt;width:465.75pt;mso-position-horizontal:center;mso-position-horizontal-relative:margin;z-index:251666432;mso-width-relative:page;mso-height-relative:page;" fillcolor="#FFFFFF" filled="t" stroked="t" coordsize="21600,21600" o:gfxdata="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10U1gAAAAcBAAAPAAAAAAAAAAEAIAAAACIAAABkcnMvZG93bnJl&#10;di54bWxQSwECFAAUAAAACACHTuJA/w1P2D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rPr>
          <w:rFonts w:ascii="仿宋" w:hAnsi="仿宋" w:eastAsia="仿宋"/>
          <w:sz w:val="32"/>
          <w:szCs w:val="32"/>
        </w:rPr>
      </w:pPr>
    </w:p>
    <w:p>
      <w:pPr>
        <w:adjustRightInd w:val="0"/>
        <w:spacing w:line="560" w:lineRule="exact"/>
        <w:ind w:firstLine="570"/>
        <w:rPr>
          <w:rFonts w:ascii="仿宋" w:hAnsi="仿宋" w:eastAsia="仿宋"/>
          <w:b/>
          <w:sz w:val="32"/>
          <w:szCs w:val="32"/>
        </w:rPr>
      </w:pPr>
    </w:p>
    <w:p>
      <w:pPr>
        <w:adjustRightInd w:val="0"/>
        <w:spacing w:line="560" w:lineRule="exact"/>
        <w:ind w:firstLine="570"/>
        <w:rPr>
          <w:rFonts w:ascii="仿宋" w:hAnsi="仿宋" w:eastAsia="仿宋"/>
          <w:b/>
          <w:sz w:val="32"/>
          <w:szCs w:val="32"/>
        </w:rPr>
      </w:pPr>
    </w:p>
    <w:p>
      <w:pPr>
        <w:adjustRightInd w:val="0"/>
        <w:spacing w:line="560" w:lineRule="exact"/>
        <w:ind w:firstLine="643" w:firstLineChars="200"/>
        <w:rPr>
          <w:rFonts w:ascii="仿宋" w:hAnsi="仿宋" w:eastAsia="仿宋"/>
          <w:b/>
          <w:sz w:val="32"/>
          <w:szCs w:val="32"/>
        </w:rPr>
      </w:pP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一、董事会会议召开情况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1．说明发出董事会会议通知的时间和方式。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2．说明召开董事会会议的时间、地点和方式。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说明董事会会议应出席的董事人数，实际出席会议的董事人数（其中：委托出席的董事人数，以通讯表决方式出席会议的人数），缺席会议的董事人数。以现场结合通讯表决方式召开董事会会议的，应披露以通讯表决方式出席会议的董事姓名；董事委托他人出席会议的，应披露该董事的姓名、不能亲自出席会议的原因和受托董事姓名；董事缺席会议的，应披露该董事的姓名和缺席会议的原因。</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4．说明董事会会议的主持人和列席人员。</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5．说明本次董事会会议的召开是否符合法律法规和公司章程的规定。</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二、董事会会议审议情况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1．说明每项议案的名称，获得的同意、反对和弃权的票数，议案是否获得通过。</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董事对所审议案投反对票或弃权票的，应披露有关理由。独立董事对所审议案投反对票或弃权票的，应当在披露董事会决议时，同时披露独立董事的异议意见，说明具体理由及依据、议案所涉事项的合法合规性、可能存在的风险以及对上市公司和中小股东权益的影响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每项议案的具体内容。所审议案需按照中国证监会有关规定或深交所制定的上市公司信息披露公告格式进行公告的，应另行披露详细的相关重大事件公告，并在董事会决议公告中说明该重大事件公告的名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3．所审议案涉及关联交易、关联董事需回避表决的，应说明关联董事的姓名、存在的关联关系以及回避表决情况。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所审议案需经审计委员会、全体独立董事过半数同意，提名委员会、薪酬与考核委员会提出建议，或中介机构发表意见的，应说明相关情况。董事会对提名委员会、薪酬与考核委员会的建议未采纳或未完全采纳的，应当披露未采纳的具体理由。</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5．审议通过的议案需提交股东大会审议的，应在董事会决议公告中明确说明“本议案需提交股东大会审议”。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6．所审议案涉及授权事项的，应当说明授权的具体内容，包括授权原因、授权范围、授权期限、受托人责任等。</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三、备查文件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1．经与会董事签字并加盖董事会印章的董事会决议；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2．董事会专门委员会审议、独立董事过半数同意的证明文件（如适用）；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3．深交所要求的其他文件。</w:t>
      </w: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XXXXXX股份有限公司董事会XXXX年XX月XX日</w:t>
      </w:r>
      <w:bookmarkStart w:id="93" w:name="_Toc40795933"/>
      <w:bookmarkStart w:id="94" w:name="_Toc527123135"/>
      <w:bookmarkStart w:id="95" w:name="_Toc15391908"/>
      <w:bookmarkStart w:id="96" w:name="_Toc40813204"/>
      <w:bookmarkStart w:id="97" w:name="_Toc60758274"/>
      <w:bookmarkStart w:id="98" w:name="_Toc430016285"/>
      <w:bookmarkStart w:id="99" w:name="_Toc2348644"/>
      <w:bookmarkStart w:id="100" w:name="_Toc2179916"/>
      <w:bookmarkStart w:id="101" w:name="_Toc2189900"/>
      <w:bookmarkStart w:id="102" w:name="_Toc2189133"/>
      <w:bookmarkStart w:id="103" w:name="_Toc510444131"/>
      <w:r>
        <w:rPr>
          <w:rFonts w:hint="eastAsia" w:ascii="方正小标宋简体" w:hAnsi="仿宋" w:eastAsia="方正小标宋简体"/>
          <w:kern w:val="44"/>
          <w:sz w:val="44"/>
          <w:szCs w:val="44"/>
        </w:rPr>
        <w:br w:type="page"/>
      </w:r>
      <w:bookmarkEnd w:id="93"/>
      <w:bookmarkEnd w:id="94"/>
      <w:bookmarkEnd w:id="95"/>
      <w:bookmarkEnd w:id="96"/>
      <w:bookmarkEnd w:id="97"/>
      <w:bookmarkEnd w:id="98"/>
      <w:bookmarkEnd w:id="99"/>
      <w:bookmarkEnd w:id="100"/>
      <w:bookmarkEnd w:id="101"/>
      <w:bookmarkEnd w:id="102"/>
      <w:bookmarkEnd w:id="103"/>
    </w:p>
    <w:p>
      <w:pPr>
        <w:keepNext/>
        <w:keepLines/>
        <w:spacing w:before="340" w:line="560" w:lineRule="exact"/>
        <w:jc w:val="center"/>
        <w:outlineLvl w:val="2"/>
        <w:rPr>
          <w:rFonts w:ascii="仿宋" w:hAnsi="仿宋" w:eastAsia="仿宋"/>
          <w:sz w:val="32"/>
          <w:szCs w:val="32"/>
        </w:rPr>
      </w:pPr>
      <w:bookmarkStart w:id="104" w:name="_Toc31954"/>
      <w:bookmarkStart w:id="105" w:name="_Toc91607632"/>
      <w:bookmarkStart w:id="106" w:name="_Toc138173218"/>
      <w:r>
        <w:rPr>
          <w:rFonts w:hint="eastAsia" w:ascii="方正小标宋简体" w:hAnsi="仿宋" w:eastAsia="方正小标宋简体"/>
          <w:kern w:val="44"/>
          <w:sz w:val="44"/>
          <w:szCs w:val="44"/>
        </w:rPr>
        <w:t>公司治理类第2号　上市公司监事会决议</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104"/>
      <w:bookmarkEnd w:id="105"/>
      <w:bookmarkEnd w:id="106"/>
    </w:p>
    <w:p>
      <w:pPr>
        <w:autoSpaceDE w:val="0"/>
        <w:autoSpaceDN w:val="0"/>
        <w:adjustRightInd w:val="0"/>
        <w:spacing w:line="560" w:lineRule="exact"/>
        <w:ind w:firstLine="489" w:firstLineChars="153"/>
        <w:jc w:val="center"/>
        <w:rPr>
          <w:rFonts w:ascii="仿宋" w:hAnsi="仿宋" w:eastAsia="仿宋"/>
          <w:sz w:val="32"/>
          <w:szCs w:val="32"/>
        </w:rPr>
      </w:pPr>
    </w:p>
    <w:p>
      <w:pPr>
        <w:autoSpaceDE w:val="0"/>
        <w:autoSpaceDN w:val="0"/>
        <w:adjustRightInd w:val="0"/>
        <w:spacing w:line="560" w:lineRule="exact"/>
        <w:ind w:firstLine="489" w:firstLineChars="153"/>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XXXXXX股份有限公司监事会决议公告</w:t>
      </w:r>
    </w:p>
    <w:p>
      <w:pPr>
        <w:adjustRightInd w:val="0"/>
        <w:spacing w:line="560" w:lineRule="exact"/>
        <w:ind w:firstLine="570"/>
        <w:rPr>
          <w:rFonts w:ascii="仿宋" w:hAnsi="仿宋" w:eastAsia="仿宋"/>
          <w:b/>
          <w:sz w:val="32"/>
          <w:szCs w:val="32"/>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146050</wp:posOffset>
                </wp:positionV>
                <wp:extent cx="5915025" cy="1628775"/>
                <wp:effectExtent l="0" t="0" r="28575" b="28575"/>
                <wp:wrapNone/>
                <wp:docPr id="247" name="矩形 247"/>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本公司及监事会全体成员（或除监事XXX、XXX外的监事会全体成员）保证信息披露的内容真实、准确、完整，没有虚假记载、误导性陈述或重大遗漏。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监事XXX因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5pt;height:128.25pt;width:465.75pt;mso-position-horizontal:center;mso-position-horizontal-relative:margin;z-index:251667456;mso-width-relative:page;mso-height-relative:page;" fillcolor="#FFFFFF" filled="t" stroked="t" coordsize="21600,21600" o:gfxdata="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T2y/NcAAAAHAQAADwAAAAAAAAABACAAAAAiAAAAZHJzL2Rvd25y&#10;ZXYueG1sUEsBAhQAFAAAAAgAh07iQDaOA3o4AgAAfwQAAA4AAAAAAAAAAQAgAAAAJg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本公司及监事会全体成员（或除监事XXX、XXX外的监事会全体成员）保证信息披露的内容真实、准确、完整，没有虚假记载、误导性陈述或重大遗漏。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监事XXX因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pacing w:line="560" w:lineRule="exact"/>
        <w:ind w:firstLine="570"/>
        <w:rPr>
          <w:rFonts w:ascii="仿宋" w:hAnsi="仿宋" w:eastAsia="仿宋"/>
          <w:b/>
          <w:sz w:val="32"/>
          <w:szCs w:val="32"/>
        </w:rPr>
      </w:pPr>
    </w:p>
    <w:p>
      <w:pPr>
        <w:adjustRightInd w:val="0"/>
        <w:spacing w:line="560" w:lineRule="exact"/>
        <w:ind w:firstLine="570"/>
        <w:rPr>
          <w:rFonts w:ascii="仿宋" w:hAnsi="仿宋" w:eastAsia="仿宋"/>
          <w:b/>
          <w:sz w:val="32"/>
          <w:szCs w:val="32"/>
        </w:rPr>
      </w:pPr>
    </w:p>
    <w:p>
      <w:pPr>
        <w:adjustRightInd w:val="0"/>
        <w:spacing w:line="560" w:lineRule="exact"/>
        <w:ind w:firstLine="570"/>
        <w:rPr>
          <w:rFonts w:ascii="仿宋" w:hAnsi="仿宋" w:eastAsia="仿宋"/>
          <w:b/>
          <w:sz w:val="32"/>
          <w:szCs w:val="32"/>
        </w:rPr>
      </w:pPr>
    </w:p>
    <w:p>
      <w:pPr>
        <w:adjustRightInd w:val="0"/>
        <w:spacing w:line="560" w:lineRule="exact"/>
        <w:ind w:firstLine="570"/>
        <w:rPr>
          <w:rFonts w:ascii="仿宋" w:hAnsi="仿宋" w:eastAsia="仿宋"/>
          <w:b/>
          <w:sz w:val="32"/>
          <w:szCs w:val="32"/>
        </w:rPr>
      </w:pP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一、监事会会议召开情况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1．说明发出监事会会议通知的时间和方式。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2．说明召开监事会会议的时间、地点和方式。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说明监事会会议应出席的监事人数，实际出席会议的监事人数（其中：委托出席的监事人数，以通讯表决方式出席会议的人数），缺席会议的监事人数。以现场结合通讯表决方式召开监事会会议的，应披露以通讯表决方式出席会议的监事姓名；监事委托他人出席会议的，应披露该监事的姓名、不能亲自出席会议的原因和受托监事姓名；监事缺席会议的，应披露该监事的姓名和缺席会议的原因。</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4．说明监事会会议的主持人和列席人员。</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5．说明本次监事会会议的召开是否符合法律法规和公司章程的规定。</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二、监事会会议审议情况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1．说明每项议案的名称，获得的同意、反对和弃权的票数，议案是否获得通过。</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监事对所审议案投反对票或弃权票的，应披露有关理由。</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每项议案的具体内容。所审议案需按照中国证监会有关规定或深交所制定的上市公司信息披露公告格式进行公告的，应另行披露详细的相关重大事件公告，并在监事会决议公告中说明该重大事件公告的名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3．监事与所审议案存在利益关系的，应说明监事的姓名、存在的利益关系以及回避表决情况。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4．审议通过的议案需提交股东大会审议的，应在监事会决议公告中明确说明“本议案需提交股东大会审议”。</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三、备查文件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1．经与会监事签字并加盖监事会印章（如有）的监事会决议；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XXXXXX股份有限公司监事会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107" w:name="_Toc40795913"/>
      <w:bookmarkStart w:id="108" w:name="_Toc15391889"/>
      <w:bookmarkStart w:id="109" w:name="_Toc138173219"/>
      <w:bookmarkStart w:id="110" w:name="_Toc42510667"/>
      <w:bookmarkStart w:id="111" w:name="_Toc91782431"/>
      <w:bookmarkStart w:id="112" w:name="_Toc91781150"/>
      <w:bookmarkStart w:id="113" w:name="_Toc26822"/>
      <w:bookmarkStart w:id="114" w:name="_Toc91607633"/>
      <w:bookmarkStart w:id="115" w:name="_Toc40813185"/>
      <w:r>
        <w:rPr>
          <w:rFonts w:hint="eastAsia" w:ascii="方正小标宋简体" w:hAnsi="仿宋" w:eastAsia="方正小标宋简体"/>
          <w:kern w:val="44"/>
          <w:sz w:val="44"/>
          <w:szCs w:val="44"/>
        </w:rPr>
        <w:t>公司治理类第3号　上市公司召开</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股东大会通知</w:t>
      </w:r>
      <w:bookmarkEnd w:id="107"/>
      <w:bookmarkEnd w:id="108"/>
      <w:r>
        <w:rPr>
          <w:rFonts w:hint="eastAsia" w:ascii="方正小标宋简体" w:hAnsi="仿宋" w:eastAsia="方正小标宋简体"/>
          <w:kern w:val="44"/>
          <w:sz w:val="44"/>
          <w:szCs w:val="44"/>
        </w:rPr>
        <w:t>公告格式</w:t>
      </w:r>
      <w:bookmarkEnd w:id="109"/>
      <w:bookmarkEnd w:id="110"/>
      <w:bookmarkEnd w:id="111"/>
      <w:bookmarkEnd w:id="112"/>
      <w:bookmarkEnd w:id="113"/>
      <w:bookmarkEnd w:id="114"/>
      <w:bookmarkEnd w:id="115"/>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111" w:leftChars="53" w:firstLine="454" w:firstLineChars="142"/>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firstLine="249" w:firstLineChars="78"/>
        <w:jc w:val="center"/>
        <w:rPr>
          <w:rFonts w:ascii="仿宋" w:hAnsi="仿宋" w:eastAsia="仿宋"/>
          <w:sz w:val="32"/>
          <w:szCs w:val="32"/>
        </w:rPr>
      </w:pPr>
      <w:r>
        <w:rPr>
          <w:rFonts w:hint="eastAsia" w:ascii="仿宋" w:hAnsi="仿宋" w:eastAsia="仿宋"/>
          <w:sz w:val="32"/>
          <w:szCs w:val="32"/>
        </w:rPr>
        <w:t>XXXXXX股份有限公司关于召开XX年度股东大会</w:t>
      </w:r>
    </w:p>
    <w:p>
      <w:pPr>
        <w:autoSpaceDE w:val="0"/>
        <w:autoSpaceDN w:val="0"/>
        <w:adjustRightInd w:val="0"/>
        <w:spacing w:line="560" w:lineRule="exact"/>
        <w:ind w:right="360" w:firstLine="348" w:firstLineChars="109"/>
        <w:jc w:val="center"/>
        <w:rPr>
          <w:rFonts w:ascii="仿宋" w:hAnsi="仿宋" w:eastAsia="仿宋"/>
          <w:sz w:val="32"/>
          <w:szCs w:val="32"/>
        </w:rPr>
      </w:pPr>
      <w:r>
        <w:rPr>
          <w:rFonts w:hint="eastAsia" w:ascii="仿宋" w:hAnsi="仿宋" w:eastAsia="仿宋"/>
          <w:sz w:val="32"/>
          <w:szCs w:val="32"/>
        </w:rPr>
        <w:t>或XX年第XX次临时股东大会的通知</w:t>
      </w:r>
    </w:p>
    <w:p>
      <w:pPr>
        <w:autoSpaceDE w:val="0"/>
        <w:autoSpaceDN w:val="0"/>
        <w:adjustRightInd w:val="0"/>
        <w:spacing w:line="560" w:lineRule="exact"/>
        <w:ind w:right="360"/>
        <w:rPr>
          <w:rFonts w:ascii="仿宋" w:hAnsi="仿宋" w:eastAsia="仿宋"/>
          <w:b/>
          <w:sz w:val="32"/>
          <w:szCs w:val="32"/>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47625</wp:posOffset>
                </wp:positionV>
                <wp:extent cx="5915025" cy="1628775"/>
                <wp:effectExtent l="0" t="0" r="28575" b="28575"/>
                <wp:wrapNone/>
                <wp:docPr id="246" name="矩形 246"/>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3.75pt;height:128.25pt;width:465.75pt;mso-position-horizontal:center;mso-position-horizontal-relative:margin;z-index:251668480;mso-width-relative:page;mso-height-relative:page;" fillcolor="#FFFFFF" filled="t" stroked="t" coordsize="21600,21600" o:gfxdata="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DUoP1gAAAAYBAAAPAAAAAAAAAAEAIAAAACIAAABkcnMvZG93bnJl&#10;di54bWxQSwECFAAUAAAACACHTuJABA1nmj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rPr>
          <w:rFonts w:ascii="仿宋" w:hAnsi="仿宋" w:eastAsia="仿宋"/>
          <w:b/>
          <w:sz w:val="32"/>
          <w:szCs w:val="32"/>
        </w:rPr>
      </w:pPr>
    </w:p>
    <w:p>
      <w:pPr>
        <w:autoSpaceDE w:val="0"/>
        <w:autoSpaceDN w:val="0"/>
        <w:adjustRightInd w:val="0"/>
        <w:spacing w:line="560" w:lineRule="exact"/>
        <w:ind w:right="360"/>
        <w:rPr>
          <w:rFonts w:ascii="仿宋" w:hAnsi="仿宋" w:eastAsia="仿宋"/>
          <w:b/>
          <w:sz w:val="32"/>
          <w:szCs w:val="32"/>
        </w:rPr>
      </w:pPr>
    </w:p>
    <w:p>
      <w:pPr>
        <w:autoSpaceDE w:val="0"/>
        <w:autoSpaceDN w:val="0"/>
        <w:adjustRightInd w:val="0"/>
        <w:spacing w:before="258"/>
        <w:ind w:right="357" w:firstLine="561"/>
        <w:rPr>
          <w:rFonts w:ascii="仿宋" w:hAnsi="仿宋" w:eastAsia="仿宋"/>
          <w:b/>
          <w:sz w:val="32"/>
          <w:szCs w:val="32"/>
        </w:rPr>
      </w:pPr>
    </w:p>
    <w:p>
      <w:pPr>
        <w:autoSpaceDE w:val="0"/>
        <w:autoSpaceDN w:val="0"/>
        <w:adjustRightInd w:val="0"/>
        <w:spacing w:line="560" w:lineRule="exact"/>
        <w:ind w:right="357" w:firstLine="643" w:firstLineChars="200"/>
        <w:rPr>
          <w:rFonts w:ascii="仿宋" w:hAnsi="仿宋" w:eastAsia="仿宋"/>
          <w:b/>
          <w:sz w:val="32"/>
          <w:szCs w:val="32"/>
        </w:rPr>
      </w:pPr>
      <w:r>
        <w:rPr>
          <w:rFonts w:hint="eastAsia" w:ascii="仿宋" w:hAnsi="仿宋" w:eastAsia="仿宋"/>
          <w:b/>
          <w:sz w:val="32"/>
          <w:szCs w:val="32"/>
        </w:rPr>
        <w:t>一、召开会议的基本情况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1．股东大会届次：说明本次股东大会是年度股东大会还是临时股东大会。召开临时股东大会的，还应说明本次股东大会为年度内第几次临时股东大会。</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股东大会的召集人：股东大会由董事会召集的，应说明董事会决议召开股东大会的情况。股东大会由独立董事、监事会、单独或合计持有公司10％以上股份的普通股股东（含表决权恢复的优先股股东，下同）向董事会提议或请求召开的，应说明董事会收到有关提议或请求的具体情况；股东大会由监事会或股东自行召集的，应说明自行召集股东大会的事由和召集程序的合法、合规性，召集人为股东的，还应说明召集股东的持股及锁定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召集人为股东的，相关股东应当在股东大会通知公告中作出如下承诺：在提议召开股东大会之日起至股东大会决议公告前，召集股东持股比例不低于公司总股本的10%。</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3．会议召开的合法、合规性：召集人应就本次股东大会的召开是否符合法律法规、本所业务规则和公司章程等的规定作出说明。</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4．会议召开的日期、时间：列明现场会议召开日期（应为交易日）、时间。列明通过互联网投票系统和交易系统进行网络投票的起止日期和时间。通过交易系统进行网络投票的日期应当与现场会议日期相同。</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5．会议的召开方式：说明本次股东大会采用现场表决与网络投票相结合的方式召开。</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6．会议的股权登记日：列明股权登记日（应为交易日）。</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B股公司需列明：B股股东应在   年   月   日（即B股股东能参会的最后交易日）或更早买入公司股票方可参会。</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7．出席对象：</w:t>
      </w:r>
    </w:p>
    <w:p>
      <w:pPr>
        <w:autoSpaceDE w:val="0"/>
        <w:autoSpaceDN w:val="0"/>
        <w:adjustRightInd w:val="0"/>
        <w:spacing w:line="560" w:lineRule="exact"/>
        <w:ind w:right="-57" w:firstLine="566" w:firstLineChars="177"/>
        <w:rPr>
          <w:rFonts w:ascii="仿宋" w:hAnsi="仿宋" w:eastAsia="仿宋"/>
          <w:sz w:val="32"/>
          <w:szCs w:val="32"/>
        </w:rPr>
      </w:pPr>
      <w:r>
        <w:rPr>
          <w:rFonts w:hint="eastAsia" w:ascii="仿宋" w:hAnsi="仿宋" w:eastAsia="仿宋"/>
          <w:sz w:val="32"/>
          <w:szCs w:val="32"/>
        </w:rPr>
        <w:t>（1）在股权登记日持有公司股份的普通股股东或其代理人；</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于股权登记日下午收市时在结算公司登记在册的公司全体普通股股东均有权出席股东大会，并可以以书面形式委托代理人出席会议和参加表决，该股东代理人不必是本公司股东（授权委托书模板详见附件2）。</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发生中国证监会《上市公司股东大会规则》第二十三条第二款规定的相关事项时，召开股东大会会议还应当通知优先股股东，出席对象应为在股权登记日持有公司股份的全体股东，此时应说明于股权登记日下午收市时在结算公司登记在册的公司全体股东均有权出席股东大会，并可以以书面形式委托代理人出席会议和参加表决，该股东代理人不必是本公司股东。</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存在需在本次股东大会上回避表决、承诺放弃表决权或者不得行使表决权的股东的，应当援引相关公告明确披露相关情况，同时应当就该等股东可否接受其他股东委托进行投票作出说明并进行特别提示。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（2）公司董事、监事和高级管理人员；</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（3）公司聘请的律师；</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（4）根据相关法规应当出席股东大会的其他人员。</w:t>
      </w:r>
    </w:p>
    <w:p>
      <w:pPr>
        <w:autoSpaceDE w:val="0"/>
        <w:autoSpaceDN w:val="0"/>
        <w:adjustRightInd w:val="0"/>
        <w:spacing w:line="560" w:lineRule="exact"/>
        <w:ind w:right="-58" w:firstLine="640" w:firstLineChars="200"/>
        <w:rPr>
          <w:rFonts w:ascii="仿宋" w:hAnsi="仿宋" w:eastAsia="仿宋"/>
          <w:b/>
          <w:sz w:val="32"/>
          <w:szCs w:val="32"/>
        </w:rPr>
      </w:pPr>
      <w:r>
        <w:rPr>
          <w:rFonts w:hint="eastAsia" w:ascii="仿宋" w:hAnsi="仿宋" w:eastAsia="仿宋"/>
          <w:sz w:val="32"/>
          <w:szCs w:val="32"/>
        </w:rPr>
        <w:t>8．会议地点：列明现场会议的地点。会议地点应当为公司住所或公司章程规定的其他地点，且地点明确具体，尽可能指明会议地点所在的城市、区域、道路、门牌号、建筑物名称、楼层、房号（如有）。</w:t>
      </w:r>
    </w:p>
    <w:p>
      <w:pPr>
        <w:autoSpaceDE w:val="0"/>
        <w:autoSpaceDN w:val="0"/>
        <w:adjustRightInd w:val="0"/>
        <w:spacing w:line="560" w:lineRule="exact"/>
        <w:ind w:right="-58" w:firstLine="643" w:firstLineChars="200"/>
        <w:rPr>
          <w:rFonts w:ascii="仿宋" w:hAnsi="仿宋" w:eastAsia="仿宋"/>
          <w:b/>
          <w:sz w:val="32"/>
          <w:szCs w:val="32"/>
        </w:rPr>
      </w:pPr>
      <w:r>
        <w:rPr>
          <w:rFonts w:hint="eastAsia" w:ascii="仿宋" w:hAnsi="仿宋" w:eastAsia="仿宋"/>
          <w:b/>
          <w:sz w:val="32"/>
          <w:szCs w:val="32"/>
        </w:rPr>
        <w:t>二、会议审议事项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1．以表格形式逐一列明提交股东大会表决的提案名称。</w:t>
      </w:r>
    </w:p>
    <w:p>
      <w:pPr>
        <w:autoSpaceDE w:val="0"/>
        <w:autoSpaceDN w:val="0"/>
        <w:adjustRightInd w:val="0"/>
        <w:ind w:right="-57"/>
        <w:jc w:val="center"/>
        <w:rPr>
          <w:rFonts w:ascii="仿宋" w:hAnsi="仿宋" w:eastAsia="仿宋"/>
          <w:b/>
          <w:sz w:val="24"/>
          <w:szCs w:val="24"/>
        </w:rPr>
      </w:pPr>
    </w:p>
    <w:p>
      <w:pPr>
        <w:autoSpaceDE w:val="0"/>
        <w:autoSpaceDN w:val="0"/>
        <w:adjustRightInd w:val="0"/>
        <w:ind w:right="-57"/>
        <w:jc w:val="center"/>
        <w:rPr>
          <w:rFonts w:ascii="仿宋" w:hAnsi="仿宋" w:eastAsia="仿宋"/>
          <w:b/>
          <w:sz w:val="24"/>
          <w:szCs w:val="24"/>
        </w:rPr>
      </w:pPr>
      <w:r>
        <w:rPr>
          <w:rFonts w:hint="eastAsia" w:ascii="仿宋" w:hAnsi="仿宋" w:eastAsia="仿宋"/>
          <w:b/>
          <w:sz w:val="24"/>
          <w:szCs w:val="24"/>
        </w:rPr>
        <w:t>表一 本次股东大会提案编码示例表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2"/>
        <w:gridCol w:w="14"/>
        <w:gridCol w:w="411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提案编码</w:t>
            </w:r>
          </w:p>
        </w:tc>
        <w:tc>
          <w:tcPr>
            <w:tcW w:w="4151" w:type="dxa"/>
            <w:gridSpan w:val="3"/>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ind w:firstLine="1186"/>
              <w:rPr>
                <w:rFonts w:ascii="仿宋" w:hAnsi="仿宋" w:eastAsia="仿宋"/>
                <w:b/>
                <w:sz w:val="24"/>
                <w:szCs w:val="24"/>
              </w:rPr>
            </w:pPr>
            <w:r>
              <w:rPr>
                <w:rFonts w:hint="eastAsia" w:ascii="仿宋" w:hAnsi="仿宋" w:eastAsia="仿宋"/>
                <w:b/>
                <w:sz w:val="24"/>
                <w:szCs w:val="24"/>
              </w:rPr>
              <w:t>提案名称</w:t>
            </w:r>
          </w:p>
        </w:tc>
        <w:tc>
          <w:tcPr>
            <w:tcW w:w="2562" w:type="dxa"/>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2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szCs w:val="24"/>
              </w:rPr>
            </w:pPr>
            <w:r>
              <w:rPr>
                <w:rFonts w:hint="eastAsia" w:ascii="仿宋" w:hAnsi="仿宋" w:eastAsia="仿宋"/>
                <w:sz w:val="24"/>
                <w:szCs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b/>
                <w:sz w:val="24"/>
                <w:szCs w:val="24"/>
              </w:rPr>
              <w:t>总议案：除累积投票提案外的所有提案</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非累积投票提案</w:t>
            </w:r>
          </w:p>
        </w:tc>
        <w:tc>
          <w:tcPr>
            <w:tcW w:w="6713"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提案1（如聘请会计师事务所）</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2.00</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提案2（如仅补选一位公司董事张三）</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3.00</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提案3需逐项表决</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 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3.01</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二级子议案01</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3.02</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3.03</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二级子议案03</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4.00</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含有多级子议案的提案4需逐项表决</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 xml:space="preserve">√ 作为投票对象的子议案数：（5）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4.01</w:t>
            </w:r>
          </w:p>
        </w:tc>
        <w:tc>
          <w:tcPr>
            <w:tcW w:w="415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二级子议案01</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4.02</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二级子议案02之三级子议案01</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4.03</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二级子议案02之三级子议案02</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4.04</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二级子议案02之三级子议案03</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4.05</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二级子议案03</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累积投票提案</w:t>
            </w:r>
          </w:p>
        </w:tc>
        <w:tc>
          <w:tcPr>
            <w:tcW w:w="6691" w:type="dxa"/>
            <w:gridSpan w:val="3"/>
            <w:tcBorders>
              <w:top w:val="single" w:color="auto" w:sz="4" w:space="0"/>
              <w:left w:val="single" w:color="auto" w:sz="4" w:space="0"/>
              <w:bottom w:val="single" w:color="auto" w:sz="4" w:space="0"/>
              <w:right w:val="single" w:color="auto" w:sz="4" w:space="0"/>
            </w:tcBorders>
          </w:tcPr>
          <w:p>
            <w:pPr>
              <w:ind w:firstLine="480"/>
              <w:rPr>
                <w:rFonts w:ascii="仿宋" w:hAnsi="仿宋" w:eastAsia="仿宋"/>
                <w:sz w:val="24"/>
                <w:szCs w:val="24"/>
              </w:rPr>
            </w:pPr>
            <w:r>
              <w:rPr>
                <w:rFonts w:hint="eastAsia" w:ascii="仿宋" w:hAnsi="仿宋" w:eastAsia="仿宋"/>
                <w:sz w:val="24"/>
                <w:szCs w:val="24"/>
              </w:rPr>
              <w:t>提案5、6、7为等额选举示例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5.00</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5.01</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非独立董事A</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5.02</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非独立董事B</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5.03</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非独立董事C</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6.00</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6.01</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独立董事D</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6.02</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独立董事E</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7.00</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7.01</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监事F</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7.02</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监事G</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7.03</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监事H</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累积投票提案</w:t>
            </w:r>
          </w:p>
        </w:tc>
        <w:tc>
          <w:tcPr>
            <w:tcW w:w="6691"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提案8、9、10为差额选举示例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8.00</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8.01</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非独立董事A</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8.02</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非独立董事B</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8.03</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非独立董事C</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9.00</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9.01</w:t>
            </w:r>
          </w:p>
        </w:tc>
        <w:tc>
          <w:tcPr>
            <w:tcW w:w="4129"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独立董事D</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9.02</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独立董事E</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10.00</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监事选举</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10.01</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监事F</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10.02</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监事G</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10.03</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监事H</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互斥提案</w:t>
            </w:r>
          </w:p>
        </w:tc>
        <w:tc>
          <w:tcPr>
            <w:tcW w:w="6677"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不得对提案11与提案12同时投同意票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11.00</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分红派息提案A</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563"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12.00</w:t>
            </w:r>
          </w:p>
        </w:tc>
        <w:tc>
          <w:tcPr>
            <w:tcW w:w="411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分红派息提案B</w:t>
            </w:r>
          </w:p>
        </w:tc>
        <w:tc>
          <w:tcPr>
            <w:tcW w:w="2562"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bl>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2．应充分、完整地披露所有提案的具体内容。提案内容在其他公告中披露的，应当说明披露时间、披露媒体和公告名称。</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3．提案需逐项表决的、需经出席会议的股东所持表决权的三分之二以上通过的或者属于影响中小投资者利益的重大事项、关联交易事项的，应当予以特别指明。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提案需进行分类表决或需优先股股东参与表决的，应当按照股东的股份类别设置提案，并就每一类别的股东在股东大会上可参与表决的提案进行提示。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涉及选举独立董事的提案，应特别说明“独立董事候选人的任职资格和独立性尚需经深交所审查无异议，股东大会方可进行表决”。提案为以累积投票方式选举董事或股东代表监事的，应当分别注明应选非独立董事、独立董事、监事的具体人数，并特别提示：股东所拥有的选举票数为其所持有表决权的股份数量乘以应选人数，股东可以将所拥有的选举票数以应选人数为限在候选人中任意分配（可以投出零票），但总数不得超过其拥有的选举票数。本次股东大会仅选举一名董事或一名监事的，应当在通知中披露不适用累积投票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5．公司应当在不晚于发出股东大会通知时披露为使股东对拟讨论的事项作出合理决策所需的全部资料。如需对股东大会会议资料进行补充，应不晚于股东大会召开日予以披露。</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6．提交本次股东大会表决的提案中，一项提案生效是其他提案生效的前提时，应当说明相关前提条件，并就作为前提的提案表决通过是后续提案表决结果生效的前提进行特别提示。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股东大会对同一事项提出不同提案的（即互斥提案，例如董事会先就年度利润分配提出方案——提案A，单独或者合计持有公司百分之三以上股份的股东又提出另外的年度利润分配方案——提案B），应当明确披露：提案A与提案B互斥，股东或其代理人不得对提案A与提案B同时投同意票；并就股东或其代理人对提案A与提案B同时投同意票的，对提案A与提案B的投票均不视为有效投票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7．本次股东大会的提案需征集投票权的，应当援引征集投票权的相关公告，说明征集投票权的基本情况。如征集投票人仅对本次股东大会的部分提案征集投票权，应当明确披露被征集人或其代理人可以对未被征集投票权的提案另行表决，并就如被征集人或其代理人未另行表决将视为其放弃对未被征集投票权的提案的表决权利进行特别提示。</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征集人为股东的，应当承诺在审议征集议案的股东大会决议公告前不转让所持股份。</w:t>
      </w:r>
    </w:p>
    <w:p>
      <w:pPr>
        <w:autoSpaceDE w:val="0"/>
        <w:autoSpaceDN w:val="0"/>
        <w:adjustRightInd w:val="0"/>
        <w:spacing w:line="560" w:lineRule="exact"/>
        <w:ind w:right="-58" w:firstLine="643" w:firstLineChars="200"/>
        <w:rPr>
          <w:rFonts w:ascii="仿宋" w:hAnsi="仿宋" w:eastAsia="仿宋"/>
          <w:b/>
          <w:sz w:val="32"/>
          <w:szCs w:val="32"/>
        </w:rPr>
      </w:pPr>
      <w:r>
        <w:rPr>
          <w:rFonts w:hint="eastAsia" w:ascii="仿宋" w:hAnsi="仿宋" w:eastAsia="仿宋"/>
          <w:b/>
          <w:sz w:val="32"/>
          <w:szCs w:val="32"/>
        </w:rPr>
        <w:t>三、提案编码注意事项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1．公司需披露提案编码，无需披露提案序号，如需披露提案序号的，提案序号需与提案编码保持一致。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2．股东大会对多项提案设置“总议案”的（总议案中不包含累积投票提案，累积投票提案需另外填报选举票数），对应的提案编码为100。股东大会上有互斥提案的，不得设置总议案。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3．除总议案以外，提案编码需按XX.XX的格式顺序且不重复地排列，如提案1.00、提案2.00。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对于逐项表决的提案，将逐项表决提案本身（以下简称一级提案）编码为XX.00，如提案3.00、提案4.00，且对一级提案投票视为对其下各级子议案表达相同投票意见。例如，对提案3.00投票，视为对其下全部二级子议案3.XX表达相同投票意见；对提案4.00投票视为对其下全部二级和三级子议案4.XX表达相同投票意见。对于含有两级提案的逐项表决提案，如提案3，将其二级子议案依次编码3.01、3.02、3.03，以此类推。对于含有三级及以上提案的逐项表决提案，如提案4，其编码如图一所示：将其二级子议案01编码为4.01；二级子议案02下的3个三级子议案作为投票对象，分别编码为4.02、4.03和4.04，而二级子议案02本身不作为投票对象，不进行编码；二级子议案03顺延编码为4.05，以此类推。提案4的备注栏应填写的作为投票对象的子议案数为提案4下所有被编码的子议案数量，即5个，其二级子议案02不作为投票对象，未被编码，不计入作为投票对象的子议案数。</w:t>
      </w:r>
    </w:p>
    <w:p>
      <w:pPr>
        <w:spacing w:line="560" w:lineRule="exact"/>
        <w:ind w:firstLine="400"/>
        <w:rPr>
          <w:rFonts w:ascii="仿宋" w:hAnsi="仿宋" w:eastAsia="仿宋"/>
          <w:sz w:val="24"/>
          <w:szCs w:val="24"/>
        </w:rPr>
      </w:pPr>
      <w:r>
        <w:rPr>
          <w:rFonts w:hint="eastAsia"/>
        </w:rPr>
        <w:drawing>
          <wp:anchor distT="0" distB="0" distL="114300" distR="114300" simplePos="0" relativeHeight="251669504" behindDoc="0" locked="0" layoutInCell="1" allowOverlap="1">
            <wp:simplePos x="0" y="0"/>
            <wp:positionH relativeFrom="column">
              <wp:posOffset>-727710</wp:posOffset>
            </wp:positionH>
            <wp:positionV relativeFrom="paragraph">
              <wp:posOffset>276225</wp:posOffset>
            </wp:positionV>
            <wp:extent cx="7811135" cy="7698105"/>
            <wp:effectExtent l="0" t="0" r="0" b="0"/>
            <wp:wrapTopAndBottom/>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811135" cy="7698105"/>
                    </a:xfrm>
                    <a:prstGeom prst="rect">
                      <a:avLst/>
                    </a:prstGeom>
                    <a:noFill/>
                  </pic:spPr>
                </pic:pic>
              </a:graphicData>
            </a:graphic>
          </wp:anchor>
        </w:drawing>
      </w:r>
      <w:r>
        <w:rPr>
          <w:rFonts w:hint="eastAsia" w:ascii="仿宋" w:hAnsi="仿宋" w:eastAsia="仿宋"/>
          <w:sz w:val="24"/>
          <w:szCs w:val="24"/>
        </w:rPr>
        <w:t>图一：包含多级子议案需逐项表决的提案的编码示例（该图仅作为示例说明，不应在公告中出现）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5．不采取累积投票方式选举董事、监事的，每位董事、监事候选人应当以单项提案提出，请参考提案2.00。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对于采用累积投票选举董事、股东代表监事的，应当注明每个累积投票提案下的应选人数。选举非独立董事和独立董事应当作为不同的提案提出。如提案5.00为选举非独立董事，则5.01代表第一位候选人，5.02代表第二位候选人，5.03代表第三位候选人；提案6.00为选举独立董事，则6.01代表第一位候选人，6.02代表第二位候选人；提案7.00为选举监事，则7.01代表第一位候选人，7.02代表第二位候选人，7.03代表第三位候选人；依此类推。候选人数等于应选人数的，请参考提案5、6、7的编码；候选人数大于应选人数的，请参考提案8、9、10的编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7．股东大会上对同一事项有不同提案的（即互斥提案，例如不同股东提出的有差异的年度分红方案，请参考提案11.00和12.00），提案应当按照提出的时间顺序排列。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8．对于分类表决的提案，设置提案时应说明可对该提案进行投票的股东类别。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9．股东大会存在征集事项的，在征集公告发出后不得变更本次股东大会提案编码，新增临时提案排序应当在已有提案之后；删除已有提案的，其他提案序号不做依次递补处理。</w:t>
      </w:r>
    </w:p>
    <w:p>
      <w:pPr>
        <w:autoSpaceDE w:val="0"/>
        <w:autoSpaceDN w:val="0"/>
        <w:adjustRightInd w:val="0"/>
        <w:spacing w:line="560" w:lineRule="exact"/>
        <w:ind w:right="360" w:firstLine="643" w:firstLineChars="200"/>
        <w:rPr>
          <w:rFonts w:ascii="仿宋" w:hAnsi="仿宋" w:eastAsia="仿宋"/>
          <w:b/>
          <w:sz w:val="32"/>
          <w:szCs w:val="32"/>
        </w:rPr>
      </w:pPr>
      <w:r>
        <w:rPr>
          <w:rFonts w:hint="eastAsia" w:ascii="仿宋" w:hAnsi="仿宋" w:eastAsia="仿宋"/>
          <w:b/>
          <w:sz w:val="32"/>
          <w:szCs w:val="32"/>
        </w:rPr>
        <w:t>四、会议登记等事项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1．应当说明股东出席股东大会的登记方式、登记时间、登记地点以及委托他人出席股东大会的有关要求。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2．说明会议联系方式（包括会务联系人姓名、电话号码、传真号码、电子邮箱等）和出席会议是否存在相关费用等情况。</w:t>
      </w:r>
    </w:p>
    <w:p>
      <w:pPr>
        <w:autoSpaceDE w:val="0"/>
        <w:autoSpaceDN w:val="0"/>
        <w:adjustRightInd w:val="0"/>
        <w:spacing w:line="560" w:lineRule="exact"/>
        <w:ind w:firstLine="643" w:firstLineChars="200"/>
        <w:rPr>
          <w:rFonts w:ascii="仿宋" w:hAnsi="仿宋" w:eastAsia="仿宋"/>
          <w:sz w:val="32"/>
          <w:szCs w:val="32"/>
        </w:rPr>
      </w:pPr>
      <w:r>
        <w:rPr>
          <w:rFonts w:hint="eastAsia" w:ascii="仿宋" w:hAnsi="仿宋" w:eastAsia="仿宋"/>
          <w:b/>
          <w:sz w:val="32"/>
          <w:szCs w:val="32"/>
        </w:rPr>
        <w:t>五、参加网络投票的具体操作流程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在本次股东大会上，股东可以通过深交所交易系统和互联网投票系统（地址为http://wltp.cninfo.com.cn）参加投票，并对网络投票的相关事宜进行具体说明。可将参加网络投票时涉及的具体操作内容作为股东大会通知的附件披露。（参加网络投票时涉及具体操作需要说明的内容和格式详见附件1）</w:t>
      </w:r>
    </w:p>
    <w:p>
      <w:pPr>
        <w:autoSpaceDE w:val="0"/>
        <w:autoSpaceDN w:val="0"/>
        <w:adjustRightInd w:val="0"/>
        <w:spacing w:line="560" w:lineRule="exact"/>
        <w:ind w:right="-58" w:firstLine="643" w:firstLineChars="200"/>
        <w:rPr>
          <w:rFonts w:ascii="仿宋" w:hAnsi="仿宋" w:eastAsia="仿宋"/>
          <w:b/>
          <w:sz w:val="32"/>
          <w:szCs w:val="32"/>
        </w:rPr>
      </w:pPr>
      <w:r>
        <w:rPr>
          <w:rFonts w:hint="eastAsia" w:ascii="仿宋" w:hAnsi="仿宋" w:eastAsia="仿宋"/>
          <w:b/>
          <w:sz w:val="32"/>
          <w:szCs w:val="32"/>
        </w:rPr>
        <w:t>六、备查文件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1．召集本次股东大会的董事会决议或监事会决议，或召集股东的持股证明文件等；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autoSpaceDE w:val="0"/>
        <w:autoSpaceDN w:val="0"/>
        <w:adjustRightInd w:val="0"/>
        <w:spacing w:line="560" w:lineRule="exact"/>
        <w:ind w:right="-58" w:firstLine="480"/>
        <w:rPr>
          <w:rFonts w:ascii="仿宋" w:hAnsi="仿宋" w:eastAsia="仿宋"/>
          <w:b/>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XXXXXX股份有限公司董事会（或其他召集人）</w:t>
      </w:r>
    </w:p>
    <w:p>
      <w:pPr>
        <w:spacing w:line="560" w:lineRule="exact"/>
        <w:jc w:val="right"/>
        <w:rPr>
          <w:rFonts w:ascii="仿宋" w:hAnsi="仿宋" w:eastAsia="仿宋"/>
          <w:sz w:val="32"/>
          <w:szCs w:val="32"/>
        </w:rPr>
      </w:pPr>
      <w:r>
        <w:rPr>
          <w:rFonts w:hint="eastAsia" w:ascii="仿宋" w:hAnsi="仿宋" w:eastAsia="仿宋"/>
          <w:sz w:val="32"/>
          <w:szCs w:val="32"/>
        </w:rPr>
        <w:t>XXXX年XX月XX日</w:t>
      </w:r>
    </w:p>
    <w:p>
      <w:pPr>
        <w:widowControl/>
        <w:spacing w:line="560" w:lineRule="exact"/>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附件1</w:t>
      </w:r>
    </w:p>
    <w:p>
      <w:pPr>
        <w:spacing w:line="560" w:lineRule="exact"/>
        <w:ind w:firstLine="600" w:firstLineChars="200"/>
        <w:rPr>
          <w:rFonts w:ascii="黑体" w:hAnsi="黑体" w:eastAsia="黑体"/>
          <w:sz w:val="30"/>
          <w:szCs w:val="30"/>
        </w:rPr>
      </w:pPr>
    </w:p>
    <w:p>
      <w:pPr>
        <w:adjustRightInd w:val="0"/>
        <w:snapToGrid w:val="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参加网络投票的具体操作流程</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一、网络投票的程序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1．普通股的投票代码与投票简称：投票代码为“36××××”，投票简称为“××投票”。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2．优先股的投票代码与投票简称(如适用)：投票代码为“369×××”，投票简称为“××优投”。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上市公司优先股网络投票代码区间为369601～369699和369701～369799，具体的投票代码需由上市公司向深交所公司管理部门确认。优先股网络投票简称“××优投”中的××由上市公司根据其证券简称设置。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3．填报表决意见或选举票数。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对于非累积投票提案，填报表决意见：同意、反对、弃权。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累积投票提案，填报投给某候选人的选举票数。上市公司股东应当以其所拥有的每个提案组的选举票数为限进行投票，股东所投选举票数超过其拥有选举票数的，或者在差额选举中投票超过应选人数的，其对该项提案组所投的选举票均视为无效投票。如果不同意某候选人，可以对该候选人投0票。</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jc w:val="center"/>
        <w:rPr>
          <w:rFonts w:ascii="仿宋" w:hAnsi="仿宋" w:eastAsia="仿宋"/>
          <w:b/>
          <w:sz w:val="24"/>
          <w:szCs w:val="24"/>
        </w:rPr>
      </w:pPr>
      <w:r>
        <w:rPr>
          <w:rFonts w:hint="eastAsia" w:ascii="仿宋" w:hAnsi="仿宋" w:eastAsia="仿宋"/>
          <w:b/>
          <w:sz w:val="24"/>
          <w:szCs w:val="24"/>
        </w:rPr>
        <w:t>表二 累积投票制下投给候选人的选举票数填报一览表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1"/>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pct"/>
            <w:tcBorders>
              <w:top w:val="single" w:color="auto" w:sz="4" w:space="0"/>
              <w:left w:val="single" w:color="auto" w:sz="4" w:space="0"/>
              <w:bottom w:val="single" w:color="auto" w:sz="4" w:space="0"/>
              <w:right w:val="single" w:color="auto" w:sz="4" w:space="0"/>
            </w:tcBorders>
            <w:shd w:val="clear" w:color="auto" w:fill="E0E0E0"/>
            <w:vAlign w:val="center"/>
          </w:tcPr>
          <w:p>
            <w:pPr>
              <w:ind w:firstLine="480"/>
              <w:rPr>
                <w:rFonts w:ascii="仿宋" w:hAnsi="仿宋" w:eastAsia="仿宋"/>
                <w:b/>
                <w:sz w:val="24"/>
                <w:szCs w:val="24"/>
              </w:rPr>
            </w:pPr>
            <w:r>
              <w:rPr>
                <w:rFonts w:hint="eastAsia" w:ascii="仿宋" w:hAnsi="仿宋" w:eastAsia="仿宋"/>
                <w:b/>
                <w:sz w:val="24"/>
                <w:szCs w:val="24"/>
              </w:rPr>
              <w:t>投给候选人的选举票数</w:t>
            </w:r>
          </w:p>
        </w:tc>
        <w:tc>
          <w:tcPr>
            <w:tcW w:w="2629" w:type="pct"/>
            <w:tcBorders>
              <w:top w:val="single" w:color="auto" w:sz="4" w:space="0"/>
              <w:left w:val="single" w:color="auto" w:sz="4" w:space="0"/>
              <w:bottom w:val="single" w:color="auto" w:sz="4" w:space="0"/>
              <w:right w:val="single" w:color="auto" w:sz="4" w:space="0"/>
            </w:tcBorders>
            <w:shd w:val="clear" w:color="auto" w:fill="E0E0E0"/>
            <w:vAlign w:val="center"/>
          </w:tcPr>
          <w:p>
            <w:pPr>
              <w:ind w:firstLine="480"/>
              <w:rPr>
                <w:rFonts w:ascii="仿宋" w:hAnsi="仿宋" w:eastAsia="仿宋"/>
                <w:b/>
                <w:sz w:val="24"/>
                <w:szCs w:val="24"/>
              </w:rPr>
            </w:pPr>
            <w:r>
              <w:rPr>
                <w:rFonts w:hint="eastAsia" w:ascii="仿宋" w:hAnsi="仿宋" w:eastAsia="仿宋"/>
                <w:b/>
                <w:sz w:val="24"/>
                <w:szCs w:val="24"/>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对候选人A投X1票</w:t>
            </w:r>
          </w:p>
        </w:tc>
        <w:tc>
          <w:tcPr>
            <w:tcW w:w="2629"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X1票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对候选人B投X2票</w:t>
            </w:r>
          </w:p>
        </w:tc>
        <w:tc>
          <w:tcPr>
            <w:tcW w:w="2629"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X2票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w:t>
            </w:r>
          </w:p>
        </w:tc>
        <w:tc>
          <w:tcPr>
            <w:tcW w:w="2629"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pct"/>
            <w:tcBorders>
              <w:top w:val="single" w:color="auto" w:sz="4" w:space="0"/>
              <w:left w:val="single" w:color="auto" w:sz="4" w:space="0"/>
              <w:bottom w:val="single" w:color="auto" w:sz="4" w:space="0"/>
              <w:right w:val="single" w:color="auto" w:sz="4" w:space="0"/>
            </w:tcBorders>
            <w:vAlign w:val="center"/>
          </w:tcPr>
          <w:p>
            <w:pPr>
              <w:ind w:firstLine="480"/>
              <w:rPr>
                <w:rFonts w:ascii="仿宋" w:hAnsi="仿宋" w:eastAsia="仿宋"/>
                <w:sz w:val="24"/>
                <w:szCs w:val="24"/>
              </w:rPr>
            </w:pPr>
            <w:r>
              <w:rPr>
                <w:rFonts w:hint="eastAsia" w:ascii="仿宋" w:hAnsi="仿宋" w:eastAsia="仿宋"/>
                <w:sz w:val="24"/>
                <w:szCs w:val="24"/>
              </w:rPr>
              <w:t>合  计</w:t>
            </w:r>
          </w:p>
        </w:tc>
        <w:tc>
          <w:tcPr>
            <w:tcW w:w="262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不超过该股东拥有的选举票数</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各提案组下股东拥有的选举票数举例如下：</w:t>
      </w:r>
    </w:p>
    <w:p>
      <w:pPr>
        <w:numPr>
          <w:ilvl w:val="0"/>
          <w:numId w:val="3"/>
        </w:numPr>
        <w:spacing w:line="560" w:lineRule="exact"/>
        <w:rPr>
          <w:rFonts w:ascii="仿宋" w:hAnsi="仿宋" w:eastAsia="仿宋"/>
          <w:sz w:val="32"/>
          <w:szCs w:val="32"/>
        </w:rPr>
      </w:pPr>
      <w:r>
        <w:rPr>
          <w:rFonts w:hint="eastAsia" w:ascii="仿宋" w:hAnsi="仿宋" w:eastAsia="仿宋"/>
          <w:sz w:val="32"/>
          <w:szCs w:val="32"/>
        </w:rPr>
        <w:t>选举非独立董事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（如表一提案5，采用等额选举，应选人数为3位）</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股东所拥有的选举票数=股东所代表的有表决权的股份总数×3</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股东可以将所拥有的选举票数在3位独立董事候选人中任意分配，但投票总数不得超过其拥有的选举票数。</w:t>
      </w:r>
    </w:p>
    <w:p>
      <w:pPr>
        <w:numPr>
          <w:ilvl w:val="0"/>
          <w:numId w:val="3"/>
        </w:numPr>
        <w:spacing w:line="560" w:lineRule="exact"/>
        <w:rPr>
          <w:rFonts w:ascii="仿宋" w:hAnsi="仿宋" w:eastAsia="仿宋"/>
          <w:sz w:val="32"/>
          <w:szCs w:val="32"/>
        </w:rPr>
      </w:pPr>
      <w:r>
        <w:rPr>
          <w:rFonts w:hint="eastAsia" w:ascii="仿宋" w:hAnsi="仿宋" w:eastAsia="仿宋"/>
          <w:sz w:val="32"/>
          <w:szCs w:val="32"/>
        </w:rPr>
        <w:t>选举监事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（如表一提案10，采用差额选举，应选人数为2位）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股东所拥有的选举票数=股东所代表的有表决权的股份总数×2</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股东可以在2位监事候选人中将其拥有的选举票数任意分配，但投票总数不得超过其拥有的选举票数，所投人数不得超过2位。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4．股东对总议案进行投票，视为对除累积投票提案外的其他所有提案表达相同意见。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二、通过深交所交易系统投票的程序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1．投票时间：  年  月  日的交易时间，即9:15—9:25，9:30—11</w:t>
      </w:r>
      <w:bookmarkStart w:id="116" w:name="OLE_LINK2"/>
      <w:bookmarkStart w:id="117" w:name="OLE_LINK1"/>
      <w:r>
        <w:rPr>
          <w:rFonts w:hint="eastAsia" w:ascii="仿宋" w:hAnsi="仿宋" w:eastAsia="仿宋"/>
          <w:sz w:val="32"/>
          <w:szCs w:val="32"/>
        </w:rPr>
        <w:t>:</w:t>
      </w:r>
      <w:bookmarkEnd w:id="116"/>
      <w:bookmarkEnd w:id="117"/>
      <w:r>
        <w:rPr>
          <w:rFonts w:hint="eastAsia" w:ascii="仿宋" w:hAnsi="仿宋" w:eastAsia="仿宋"/>
          <w:sz w:val="32"/>
          <w:szCs w:val="32"/>
        </w:rPr>
        <w:t>30和13:00—15:00。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2．股东可以登录证券公司交易客户端通过交易系统投票。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三、通过深交所互联网投票系统投票的程序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1．互联网投票系统开始投票的时间为  年  月  日（现场股东大会召开当日）上午9：15，结束时间为  年  月  日（现场股东大会结束当日）下午3：00。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Style w:val="71"/>
          <w:rFonts w:hint="eastAsia" w:ascii="仿宋" w:hAnsi="仿宋" w:eastAsia="仿宋"/>
          <w:sz w:val="32"/>
          <w:szCs w:val="32"/>
        </w:rPr>
        <w:t>http://wltp.cninfo.com.cn</w:t>
      </w:r>
      <w:r>
        <w:rPr>
          <w:rStyle w:val="71"/>
          <w:rFonts w:hint="eastAsia" w:ascii="仿宋" w:hAnsi="仿宋" w:eastAsia="仿宋"/>
          <w:sz w:val="32"/>
          <w:szCs w:val="32"/>
        </w:rPr>
        <w:fldChar w:fldCharType="end"/>
      </w:r>
      <w:r>
        <w:rPr>
          <w:rFonts w:hint="eastAsia" w:ascii="仿宋" w:hAnsi="仿宋" w:eastAsia="仿宋"/>
          <w:sz w:val="32"/>
          <w:szCs w:val="32"/>
        </w:rPr>
        <w:t>规则指引栏目查阅。</w:t>
      </w:r>
    </w:p>
    <w:p>
      <w:pPr>
        <w:widowControl/>
        <w:spacing w:beforeAutospacing="1" w:afterAutospacing="1"/>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3．股东根据获取的服务密码或数字证书，可登录</w:t>
      </w:r>
      <w:r>
        <w:fldChar w:fldCharType="begin"/>
      </w:r>
      <w:r>
        <w:instrText xml:space="preserve"> HYPERLINK "http://wltp.cninfo.com.cn/" </w:instrText>
      </w:r>
      <w:r>
        <w:fldChar w:fldCharType="separate"/>
      </w:r>
      <w:r>
        <w:rPr>
          <w:rStyle w:val="71"/>
          <w:rFonts w:hint="eastAsia" w:ascii="仿宋" w:hAnsi="仿宋" w:eastAsia="仿宋"/>
          <w:sz w:val="32"/>
          <w:szCs w:val="32"/>
        </w:rPr>
        <w:t>http://wltp.cninfo.com.cn</w:t>
      </w:r>
      <w:r>
        <w:rPr>
          <w:rStyle w:val="71"/>
          <w:rFonts w:hint="eastAsia" w:ascii="仿宋" w:hAnsi="仿宋" w:eastAsia="仿宋"/>
          <w:sz w:val="32"/>
          <w:szCs w:val="32"/>
        </w:rPr>
        <w:fldChar w:fldCharType="end"/>
      </w:r>
      <w:r>
        <w:rPr>
          <w:rFonts w:hint="eastAsia" w:ascii="仿宋" w:hAnsi="仿宋" w:eastAsia="仿宋"/>
          <w:sz w:val="32"/>
          <w:szCs w:val="32"/>
        </w:rPr>
        <w:t>在规定时间内通过深交所互联网投票系统进行投票。</w:t>
      </w:r>
    </w:p>
    <w:p>
      <w:pPr>
        <w:autoSpaceDE w:val="0"/>
        <w:autoSpaceDN w:val="0"/>
        <w:adjustRightInd w:val="0"/>
        <w:spacing w:line="560" w:lineRule="exact"/>
        <w:ind w:right="360"/>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附件2</w:t>
      </w:r>
    </w:p>
    <w:p>
      <w:pPr>
        <w:autoSpaceDE w:val="0"/>
        <w:autoSpaceDN w:val="0"/>
        <w:adjustRightInd w:val="0"/>
        <w:spacing w:line="560" w:lineRule="exact"/>
        <w:ind w:right="360" w:firstLine="562"/>
        <w:rPr>
          <w:rFonts w:ascii="仿宋" w:hAnsi="仿宋" w:eastAsia="仿宋"/>
          <w:b/>
          <w:sz w:val="30"/>
          <w:szCs w:val="30"/>
        </w:rPr>
      </w:pPr>
    </w:p>
    <w:p>
      <w:pPr>
        <w:adjustRightInd w:val="0"/>
        <w:snapToGrid w:val="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授权委托书</w:t>
      </w:r>
    </w:p>
    <w:p>
      <w:pPr>
        <w:spacing w:line="560" w:lineRule="exact"/>
        <w:ind w:firstLine="56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1．委托人名称、持有上市公司股份的性质和数量。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2．受托人姓名、身份证号码。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3．对本次股东大会提案的明确投票意见指示（可按下表格式列示）；没有明确投票指示的，应当注明是否授权由受托人按自己的意见投票。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4．授权委托书签发日期和有效期限。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5．委托人签名（或盖章）；委托人为法人的，应当加盖单位印章。</w:t>
      </w:r>
    </w:p>
    <w:p>
      <w:pPr>
        <w:spacing w:line="560" w:lineRule="exact"/>
        <w:jc w:val="center"/>
        <w:rPr>
          <w:rFonts w:ascii="仿宋" w:hAnsi="仿宋" w:eastAsia="仿宋"/>
          <w:sz w:val="24"/>
          <w:szCs w:val="24"/>
        </w:rPr>
      </w:pPr>
      <w:r>
        <w:rPr>
          <w:rFonts w:hint="eastAsia" w:ascii="仿宋" w:hAnsi="仿宋" w:eastAsia="仿宋"/>
          <w:b/>
          <w:sz w:val="24"/>
          <w:szCs w:val="24"/>
        </w:rPr>
        <w:t>表三 本次股东大会提案表决意见示例表</w:t>
      </w:r>
    </w:p>
    <w:tbl>
      <w:tblPr>
        <w:tblStyle w:val="59"/>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
        <w:gridCol w:w="1811"/>
        <w:gridCol w:w="2688"/>
        <w:gridCol w:w="1348"/>
        <w:gridCol w:w="7"/>
        <w:gridCol w:w="798"/>
        <w:gridCol w:w="7"/>
        <w:gridCol w:w="815"/>
        <w:gridCol w:w="7"/>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107" w:type="pct"/>
            <w:gridSpan w:val="2"/>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提案编码</w:t>
            </w:r>
          </w:p>
        </w:tc>
        <w:tc>
          <w:tcPr>
            <w:tcW w:w="1633"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提案名称</w:t>
            </w:r>
          </w:p>
        </w:tc>
        <w:tc>
          <w:tcPr>
            <w:tcW w:w="819"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备注</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同意</w:t>
            </w: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反对</w:t>
            </w:r>
          </w:p>
        </w:tc>
        <w:tc>
          <w:tcPr>
            <w:tcW w:w="45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19"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sz w:val="24"/>
                <w:szCs w:val="24"/>
              </w:rPr>
              <w:t>该列打勾的栏目可以投票</w:t>
            </w:r>
          </w:p>
        </w:tc>
        <w:tc>
          <w:tcPr>
            <w:tcW w:w="1442" w:type="pct"/>
            <w:gridSpan w:val="6"/>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b/>
                <w:sz w:val="24"/>
                <w:szCs w:val="24"/>
              </w:rPr>
              <w:t>总议案：除累积投票提案外的所有提案</w:t>
            </w:r>
          </w:p>
        </w:tc>
        <w:tc>
          <w:tcPr>
            <w:tcW w:w="819"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5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非累积投票提案</w:t>
            </w:r>
          </w:p>
        </w:tc>
        <w:tc>
          <w:tcPr>
            <w:tcW w:w="3893" w:type="pct"/>
            <w:gridSpan w:val="8"/>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提案1（如聘请会计师事务所）</w:t>
            </w:r>
          </w:p>
        </w:tc>
        <w:tc>
          <w:tcPr>
            <w:tcW w:w="81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5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2.00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提案2（如仅补选一位公司董事）</w:t>
            </w:r>
          </w:p>
        </w:tc>
        <w:tc>
          <w:tcPr>
            <w:tcW w:w="81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5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提案3需逐项表决</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  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二级子议案01</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二级子议案03</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3.03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二级子议案03</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含有多级子议案的提案4需逐项</w:t>
            </w:r>
          </w:p>
          <w:p>
            <w:pPr>
              <w:rPr>
                <w:rFonts w:ascii="仿宋" w:hAnsi="仿宋" w:eastAsia="仿宋"/>
                <w:sz w:val="24"/>
                <w:szCs w:val="24"/>
              </w:rPr>
            </w:pPr>
            <w:r>
              <w:rPr>
                <w:rFonts w:hint="eastAsia" w:ascii="仿宋" w:hAnsi="仿宋" w:eastAsia="仿宋"/>
                <w:sz w:val="24"/>
                <w:szCs w:val="24"/>
              </w:rPr>
              <w:t>表决</w:t>
            </w:r>
          </w:p>
        </w:tc>
        <w:tc>
          <w:tcPr>
            <w:tcW w:w="2260" w:type="pct"/>
            <w:gridSpan w:val="7"/>
            <w:tcBorders>
              <w:top w:val="single" w:color="auto" w:sz="4" w:space="0"/>
              <w:left w:val="single" w:color="auto" w:sz="4" w:space="0"/>
              <w:bottom w:val="single" w:color="auto" w:sz="4" w:space="0"/>
              <w:right w:val="single" w:color="auto" w:sz="4" w:space="0"/>
            </w:tcBorders>
          </w:tcPr>
          <w:p>
            <w:pPr>
              <w:ind w:firstLine="120"/>
              <w:rPr>
                <w:rFonts w:ascii="仿宋" w:hAnsi="仿宋" w:eastAsia="仿宋"/>
                <w:sz w:val="24"/>
                <w:szCs w:val="24"/>
              </w:rPr>
            </w:pPr>
            <w:r>
              <w:rPr>
                <w:rFonts w:hint="eastAsia" w:ascii="仿宋" w:hAnsi="仿宋" w:eastAsia="仿宋"/>
                <w:sz w:val="24"/>
                <w:szCs w:val="24"/>
              </w:rPr>
              <w:t>√  作为投票对象的子议案数：5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二级子议案01</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二级子议案02之三级子议案01</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二级子议案02之三级子议案02</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4.04</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二级子议案02之三级子议案03</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4.05</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二级子议案03</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48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9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49"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累积投票提案</w:t>
            </w:r>
          </w:p>
        </w:tc>
        <w:tc>
          <w:tcPr>
            <w:tcW w:w="3893" w:type="pct"/>
            <w:gridSpan w:val="8"/>
            <w:tcBorders>
              <w:top w:val="single" w:color="auto" w:sz="4" w:space="0"/>
              <w:left w:val="single" w:color="auto" w:sz="4" w:space="0"/>
              <w:bottom w:val="single" w:color="auto" w:sz="4" w:space="0"/>
              <w:right w:val="single" w:color="auto" w:sz="4" w:space="0"/>
            </w:tcBorders>
          </w:tcPr>
          <w:p>
            <w:pPr>
              <w:ind w:firstLine="480"/>
              <w:rPr>
                <w:rFonts w:ascii="仿宋" w:hAnsi="仿宋" w:eastAsia="仿宋"/>
                <w:sz w:val="24"/>
                <w:szCs w:val="24"/>
              </w:rPr>
            </w:pPr>
            <w:r>
              <w:rPr>
                <w:rFonts w:hint="eastAsia" w:ascii="仿宋" w:hAnsi="仿宋" w:eastAsia="仿宋"/>
                <w:sz w:val="24"/>
                <w:szCs w:val="24"/>
              </w:rPr>
              <w:t>采用等额选举，填报投给候选人的选举票数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非独立董事A</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非独立董事B</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329"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5.03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非独立董事C</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357"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19"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独立董事D</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15"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6.02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独立董事E</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17"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监事F</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监事G</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7.03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监事H</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累积投票提案</w:t>
            </w:r>
          </w:p>
        </w:tc>
        <w:tc>
          <w:tcPr>
            <w:tcW w:w="3893" w:type="pct"/>
            <w:gridSpan w:val="8"/>
            <w:tcBorders>
              <w:top w:val="single" w:color="auto" w:sz="4" w:space="0"/>
              <w:left w:val="single" w:color="auto" w:sz="4" w:space="0"/>
              <w:bottom w:val="single" w:color="auto" w:sz="4" w:space="0"/>
              <w:right w:val="single" w:color="auto" w:sz="4" w:space="0"/>
            </w:tcBorders>
          </w:tcPr>
          <w:p>
            <w:pPr>
              <w:ind w:firstLine="480"/>
              <w:rPr>
                <w:rFonts w:ascii="仿宋" w:hAnsi="仿宋" w:eastAsia="仿宋"/>
                <w:sz w:val="24"/>
                <w:szCs w:val="24"/>
              </w:rPr>
            </w:pPr>
            <w:r>
              <w:rPr>
                <w:rFonts w:hint="eastAsia" w:ascii="仿宋" w:hAnsi="仿宋" w:eastAsia="仿宋"/>
                <w:sz w:val="24"/>
                <w:szCs w:val="24"/>
              </w:rPr>
              <w:t>采用差额选举，填报投给候选人的选举票数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非独立董事A</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非独立董事B</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329"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8.03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非独立董事C</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357"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541"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独立董事D</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15"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9.02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独立董事E</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17"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监事选举</w:t>
            </w:r>
          </w:p>
        </w:tc>
        <w:tc>
          <w:tcPr>
            <w:tcW w:w="2260" w:type="pct"/>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应选人数（2）人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10.01</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监事F</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10.02</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监事G</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10.03</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监事H</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互斥提案</w:t>
            </w:r>
          </w:p>
        </w:tc>
        <w:tc>
          <w:tcPr>
            <w:tcW w:w="3893" w:type="pct"/>
            <w:gridSpan w:val="8"/>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不得对提案11与提案12同时投同意票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11.00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分红派息提案A</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pct"/>
          <w:trHeight w:val="423" w:hRule="atLeast"/>
          <w:jc w:val="center"/>
        </w:trPr>
        <w:tc>
          <w:tcPr>
            <w:tcW w:w="1100"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12.00</w:t>
            </w:r>
          </w:p>
        </w:tc>
        <w:tc>
          <w:tcPr>
            <w:tcW w:w="163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分红派息提案B</w:t>
            </w:r>
          </w:p>
        </w:tc>
        <w:tc>
          <w:tcPr>
            <w:tcW w:w="823"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1437"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bl>
    <w:p>
      <w:pPr>
        <w:widowControl/>
        <w:spacing w:beforeAutospacing="1" w:afterAutospacing="1"/>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118" w:name="_Toc2189115"/>
      <w:bookmarkStart w:id="119" w:name="_Toc91607634"/>
      <w:bookmarkStart w:id="120" w:name="_Toc430016267"/>
      <w:bookmarkStart w:id="121" w:name="_Toc42510668"/>
      <w:bookmarkStart w:id="122" w:name="_Toc138173220"/>
      <w:bookmarkStart w:id="123" w:name="_Toc510444113"/>
      <w:bookmarkStart w:id="124" w:name="_Toc40813186"/>
      <w:bookmarkStart w:id="125" w:name="_Toc2179898"/>
      <w:bookmarkStart w:id="126" w:name="_Toc27388"/>
      <w:bookmarkStart w:id="127" w:name="_Toc527123117"/>
      <w:bookmarkStart w:id="128" w:name="_Toc91782432"/>
      <w:bookmarkStart w:id="129" w:name="_Toc40795914"/>
      <w:bookmarkStart w:id="130" w:name="_Toc2348626"/>
      <w:bookmarkStart w:id="131" w:name="_Toc2189882"/>
      <w:bookmarkStart w:id="132" w:name="_Toc15391890"/>
      <w:bookmarkStart w:id="133" w:name="_Toc91781151"/>
      <w:bookmarkStart w:id="134" w:name="OLE_LINK217"/>
      <w:bookmarkStart w:id="135" w:name="OLE_LINK216"/>
      <w:bookmarkStart w:id="136" w:name="OLE_LINK218"/>
      <w:r>
        <w:rPr>
          <w:rFonts w:hint="eastAsia" w:ascii="方正小标宋简体" w:hAnsi="仿宋" w:eastAsia="方正小标宋简体"/>
          <w:kern w:val="44"/>
          <w:sz w:val="44"/>
          <w:szCs w:val="44"/>
        </w:rPr>
        <w:t>公司治理类第4号　上市公司股东大会</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决议公告格式</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685" w:leftChars="273" w:hanging="112" w:hangingChars="35"/>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firstLine="700"/>
        <w:jc w:val="center"/>
        <w:rPr>
          <w:rFonts w:ascii="仿宋" w:hAnsi="仿宋" w:eastAsia="仿宋"/>
          <w:sz w:val="32"/>
          <w:szCs w:val="32"/>
        </w:rPr>
      </w:pPr>
      <w:r>
        <w:rPr>
          <w:rFonts w:hint="eastAsia" w:ascii="仿宋" w:hAnsi="仿宋" w:eastAsia="仿宋"/>
          <w:sz w:val="32"/>
          <w:szCs w:val="32"/>
        </w:rPr>
        <w:t xml:space="preserve"> XXXXXX股份有限公司XX年度股东大会</w:t>
      </w:r>
    </w:p>
    <w:p>
      <w:pPr>
        <w:autoSpaceDE w:val="0"/>
        <w:autoSpaceDN w:val="0"/>
        <w:adjustRightInd w:val="0"/>
        <w:spacing w:line="560" w:lineRule="exact"/>
        <w:ind w:right="360" w:firstLine="700"/>
        <w:jc w:val="center"/>
        <w:rPr>
          <w:rFonts w:ascii="仿宋" w:hAnsi="仿宋" w:eastAsia="仿宋"/>
          <w:sz w:val="32"/>
          <w:szCs w:val="32"/>
        </w:rPr>
      </w:pPr>
      <w:r>
        <w:rPr>
          <w:rFonts w:hint="eastAsia" w:ascii="仿宋" w:hAnsi="仿宋" w:eastAsia="仿宋"/>
          <w:sz w:val="32"/>
          <w:szCs w:val="32"/>
        </w:rPr>
        <w:t>或XX年第XX次临时股东大会决议公告</w:t>
      </w:r>
    </w:p>
    <w:p>
      <w:pPr>
        <w:autoSpaceDE w:val="0"/>
        <w:autoSpaceDN w:val="0"/>
        <w:adjustRightInd w:val="0"/>
        <w:spacing w:line="560" w:lineRule="exact"/>
        <w:ind w:firstLine="562"/>
        <w:rPr>
          <w:rFonts w:ascii="仿宋" w:hAnsi="仿宋" w:eastAsia="仿宋"/>
          <w:b/>
          <w:sz w:val="32"/>
          <w:szCs w:val="32"/>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117475</wp:posOffset>
                </wp:positionV>
                <wp:extent cx="5915025" cy="1628775"/>
                <wp:effectExtent l="0" t="0" r="28575" b="28575"/>
                <wp:wrapNone/>
                <wp:docPr id="244" name="矩形 24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25pt;height:128.25pt;width:465.75pt;mso-position-horizontal:center;mso-position-horizontal-relative:margin;z-index:251670528;mso-width-relative:page;mso-height-relative:page;" fillcolor="#FFFFFF" filled="t" stroked="t" coordsize="21600,21600" o:gfxdata="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Kr/W1gAAAAcBAAAPAAAAAAAAAAEAIAAAACIAAABkcnMvZG93bnJl&#10;di54bWxQSwECFAAUAAAACACHTuJAIQ3fg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562"/>
        <w:rPr>
          <w:rFonts w:ascii="仿宋" w:hAnsi="仿宋" w:eastAsia="仿宋"/>
          <w:b/>
          <w:sz w:val="32"/>
          <w:szCs w:val="32"/>
        </w:rPr>
      </w:pPr>
    </w:p>
    <w:p>
      <w:pPr>
        <w:autoSpaceDE w:val="0"/>
        <w:autoSpaceDN w:val="0"/>
        <w:adjustRightInd w:val="0"/>
        <w:spacing w:line="560" w:lineRule="exact"/>
        <w:ind w:firstLine="562"/>
        <w:rPr>
          <w:rFonts w:ascii="仿宋" w:hAnsi="仿宋" w:eastAsia="仿宋"/>
          <w:b/>
          <w:sz w:val="32"/>
          <w:szCs w:val="32"/>
        </w:rPr>
      </w:pPr>
    </w:p>
    <w:p>
      <w:pPr>
        <w:autoSpaceDE w:val="0"/>
        <w:autoSpaceDN w:val="0"/>
        <w:adjustRightInd w:val="0"/>
        <w:spacing w:line="560" w:lineRule="exact"/>
        <w:ind w:firstLine="562"/>
        <w:rPr>
          <w:rFonts w:ascii="仿宋" w:hAnsi="仿宋" w:eastAsia="仿宋"/>
          <w:b/>
          <w:sz w:val="32"/>
          <w:szCs w:val="32"/>
        </w:rPr>
      </w:pPr>
    </w:p>
    <w:p>
      <w:pPr>
        <w:autoSpaceDE w:val="0"/>
        <w:autoSpaceDN w:val="0"/>
        <w:adjustRightInd w:val="0"/>
        <w:spacing w:line="560" w:lineRule="exact"/>
        <w:ind w:firstLine="643" w:firstLineChars="200"/>
        <w:rPr>
          <w:rFonts w:ascii="仿宋" w:hAnsi="仿宋" w:eastAsia="仿宋"/>
          <w:b/>
          <w:sz w:val="32"/>
          <w:szCs w:val="32"/>
        </w:rPr>
      </w:pP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1．本次股东大会是否出现否决提案的情形。如出现否决提案，应提示本次股东大会否决的提案名称。</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2．本次股东大会是否涉及变更以往股东大会已通过的决议。如有，应对该决议涉及的提案名称作出提示。</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一、会议召开和出席情况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1．说明会议召开的时间、地点、方式、召集人和主持人，说明本次会议是否符合法律法规和公司章程的规定。</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出席现场会议的股东及股东授权委托代表人数、代表股份数量及占公司有表决权股份总数（上市公司已发行普通股总数+上市公司已发行的表决权恢复的优先股经换算所对应的普通股总数）的比例；说明通过网络投票出席会议</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rPr>
          <w:rFonts w:ascii="仿宋" w:hAnsi="仿宋" w:eastAsia="仿宋"/>
          <w:sz w:val="32"/>
          <w:szCs w:val="32"/>
        </w:rPr>
      </w:pPr>
      <w:r>
        <w:rPr>
          <w:rFonts w:hint="eastAsia" w:ascii="仿宋" w:hAnsi="仿宋" w:eastAsia="仿宋"/>
          <w:sz w:val="32"/>
          <w:szCs w:val="32"/>
        </w:rPr>
        <w:t>的股东人数、代表股份数量及占公司有表决权股份总数的比例；存在征集表决权事项的，说明征集到的股东人数、表决权股份数量与比例；出席股东存在《证券法》规定的不得行使表决权的股份的，属于上市公司已发行的普通股总数，但不得计入出席会议股东的代表股份数量。</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发行境内上市外资股或同时有证券在境外证券交易所上市的公司，应当说明出席会议的内资股东、外资股东及股东授权委托代表人数，代表股份数量，占公司有表决权股份总数的比例。</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出席会议的股东如包含表决权恢复的优先股股东的，应当另行说明优先股股东出席会议的人数、经换算所对应的普通股股数及占公司有表决权股份总数的比例。同时拥有普通股和优先股的股东其所持股份比例=（股东所持普通股的股数+股东所持表决权恢复的优先股经换算所对应的普通股总数）/（上市公司已发行普通股总数+上市公司已发行的表决权恢复的优先股经换算所对应的普通股总数）</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3．说明公司董事、监事、高级管理人员、律师、保荐代表人出席或列席股东大会情况。</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二、提案审议表决情况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1．说明提案的表决方式，包括本次股东大会提案采用现场表决、网络投票等表决方式的情况。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逐一说明每项提案（只需列举所审提案的名称，无需重复披露所审提案的具体内容）的表决结果（鼓励采用列表等简明方式进行披露）。说明每项提案同意、反对、弃权的股份数、占出席本次股东大会有效表决权股份总数的比例（包含表决权恢复的优先股股份经换算所对应的股份数量及比例）以及提案是否获得通过。说明出席股东存在《证券法》规定的不得行使表决权的股份数量，且未计入表决结果。</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涉及逐项表决的提案，应披露每个子议案逐项表决的结果；涉及以特别决议通过的提案，应说明该项提案是否获得有效表决权股份总数的2/3以上通过；涉及分类表决的提案，应单独说明类别股东的表决情况和表决结果；对影响中小股东利益的重大事项提案，应单独说明中小股东（除公司董事、监事、高级管理人员以及单独或合计持有公司5%以上股份的股东以外的其他股东）对该提案的表决情况和表决结果；涉及关联交易事项的，应说明关联股东名称、存在的关联关系、所持表决权股份数量及其回避表决情况；涉及用累积投票方式选举两名及以上非独立董事、独立董事或股东代表监事的提案，应说明每名候选人所获得的选举票数、占出席本次股东大会有效表决权股份总数的比例以及是否当选。</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发行优先股的公司如就证监会《上市公司股东大会规则》第二十三条第二款所列情形进行表决的，应当分别披露普通股股东（含表决权恢复的优先股股东）和优先股股东（不含表决权恢复的优先股股东）的表决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发行境内上市外资股或同时有证券在境外证券交易所上市的公司，还应分别说明内资股股东和外资股股东的表决情况。</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三、律师出具的法律意见</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说明见证本次股东大会的由上市公司聘请的律师事务所、该律师事务所两名律师名称及出具的结论性意见。法律意见书的结论性意见应包括律师就本次股东大会的召集召开程序的合法性、召集人和出席会议人员资格的合法有效性以及表决程序、表决结果的合法有效性所出具的明确意见，不得使用“基本符合”、“未发现”等含糊措辞。</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律师应在法律意见书中说明股东出席、关联股东回避和各提案的表决情况，包括出席本次股东大会的股东及股东授权委托代表人数（包含表决权恢复的优先股股东），代表股份数量（包含表决权恢复的优先股股份经换算所对应的股份数量），每项提案获得的同意、反对、弃权的股份数、占出席会议有效表决权股份总数比例（包含表决权恢复的优先股股份经换算所对应的股份数量所占比例）以及提案是否获得通过。涉及累积投票的提案，应说明每名候选人所获得的选举票数、占出席会议有效表决权股份总数的比例以及是否当选等。出席股东存在《证券法》规定的不得行使表决权的股份的，应说明该部分股份数量且未计入出席会议股东的代表股份数量、未计入表决结果。</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股东大会出现否决提案的，应在本所网站和符合证监会规定条件的媒体披露法律意见书全文。</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股东大会存在征集表决权、征集提案权事项的，征集人聘请的律师还应当就以下事项出具的法律意见书：</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1．征集人自征集日至行权日期间是否符合征集条件；</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2．征集程序及行权结果是否合法合规；</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3．涉及征集提案权的，征集结果是否满足临时提案的持股比例要求；</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4．其他应征集人或深交所要求说明的事项。</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四、备查文件</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1．经与会董事和记录人签字确认并加盖董事会印章的股东大会决议；</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2．法律意见书；</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3．深交所要求的其他文件。</w:t>
      </w:r>
    </w:p>
    <w:p>
      <w:pPr>
        <w:spacing w:line="560" w:lineRule="exact"/>
        <w:ind w:firstLine="560"/>
        <w:rPr>
          <w:rFonts w:ascii="仿宋" w:hAnsi="仿宋" w:eastAsia="仿宋"/>
          <w:sz w:val="32"/>
          <w:szCs w:val="32"/>
        </w:rPr>
      </w:pPr>
    </w:p>
    <w:bookmarkEnd w:id="134"/>
    <w:bookmarkEnd w:id="135"/>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80"/>
        <w:rPr>
          <w:rFonts w:ascii="仿宋" w:hAnsi="仿宋" w:eastAsia="仿宋"/>
          <w:sz w:val="32"/>
          <w:szCs w:val="32"/>
        </w:rPr>
      </w:pPr>
      <w:r>
        <w:rPr>
          <w:rFonts w:hint="eastAsia" w:ascii="仿宋" w:hAnsi="仿宋" w:eastAsia="仿宋"/>
          <w:sz w:val="32"/>
          <w:szCs w:val="32"/>
        </w:rPr>
        <w:t>XXXX年XX月XX日</w:t>
      </w:r>
      <w:bookmarkEnd w:id="136"/>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137" w:name="_Toc27737"/>
      <w:bookmarkStart w:id="138" w:name="_Toc138173221"/>
      <w:bookmarkStart w:id="139" w:name="_Toc91607635"/>
      <w:bookmarkStart w:id="140" w:name="_Toc91782433"/>
      <w:bookmarkStart w:id="141" w:name="_Toc91781152"/>
      <w:r>
        <w:rPr>
          <w:rFonts w:hint="eastAsia" w:ascii="方正小标宋简体" w:hAnsi="仿宋" w:eastAsia="方正小标宋简体"/>
          <w:kern w:val="44"/>
          <w:sz w:val="44"/>
          <w:szCs w:val="44"/>
        </w:rPr>
        <w:t>公司治理类第5号　上市公司股东</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征集表决权公告格式</w:t>
      </w:r>
      <w:bookmarkEnd w:id="137"/>
      <w:bookmarkEnd w:id="138"/>
      <w:bookmarkEnd w:id="139"/>
      <w:bookmarkEnd w:id="140"/>
      <w:bookmarkEnd w:id="141"/>
    </w:p>
    <w:p>
      <w:pPr>
        <w:autoSpaceDE w:val="0"/>
        <w:autoSpaceDN w:val="0"/>
        <w:adjustRightInd w:val="0"/>
        <w:spacing w:line="560" w:lineRule="exact"/>
        <w:ind w:left="111" w:leftChars="53" w:firstLine="454" w:firstLineChars="142"/>
        <w:jc w:val="center"/>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本格式适用于上市公司股东公开征集表决权，上市公司董事会、独立董事、投资者保护机构公开征集股东大会表决权的，参照本格式执行。</w:t>
      </w:r>
    </w:p>
    <w:p>
      <w:pPr>
        <w:autoSpaceDE w:val="0"/>
        <w:autoSpaceDN w:val="0"/>
        <w:adjustRightInd w:val="0"/>
        <w:spacing w:line="560" w:lineRule="exact"/>
        <w:ind w:left="111" w:leftChars="53" w:firstLine="454" w:firstLineChars="142"/>
        <w:jc w:val="center"/>
        <w:rPr>
          <w:rFonts w:ascii="仿宋" w:hAnsi="仿宋" w:eastAsia="仿宋"/>
          <w:sz w:val="32"/>
          <w:szCs w:val="32"/>
        </w:rPr>
      </w:pPr>
    </w:p>
    <w:p>
      <w:pPr>
        <w:autoSpaceDE w:val="0"/>
        <w:autoSpaceDN w:val="0"/>
        <w:adjustRightInd w:val="0"/>
        <w:spacing w:line="560" w:lineRule="exact"/>
        <w:ind w:left="111" w:leftChars="53" w:firstLine="454" w:firstLineChars="142"/>
        <w:jc w:val="center"/>
        <w:rPr>
          <w:rFonts w:ascii="仿宋" w:hAnsi="仿宋" w:eastAsia="仿宋"/>
          <w:sz w:val="32"/>
          <w:szCs w:val="32"/>
        </w:rPr>
      </w:pPr>
      <w:r>
        <w:rPr>
          <w:rFonts w:hint="eastAsia" w:ascii="仿宋" w:hAnsi="仿宋" w:eastAsia="仿宋"/>
          <w:sz w:val="32"/>
          <w:szCs w:val="32"/>
        </w:rPr>
        <w:t xml:space="preserve"> 证券代码：        证券简称：        公告编号：</w:t>
      </w:r>
    </w:p>
    <w:p>
      <w:pPr>
        <w:autoSpaceDE w:val="0"/>
        <w:autoSpaceDN w:val="0"/>
        <w:adjustRightInd w:val="0"/>
        <w:spacing w:line="560" w:lineRule="exact"/>
        <w:ind w:right="360" w:firstLine="249" w:firstLineChars="78"/>
        <w:jc w:val="center"/>
        <w:rPr>
          <w:rFonts w:ascii="仿宋" w:hAnsi="仿宋" w:eastAsia="仿宋"/>
          <w:sz w:val="32"/>
          <w:szCs w:val="32"/>
        </w:rPr>
      </w:pPr>
      <w:r>
        <w:rPr>
          <w:rFonts w:hint="eastAsia" w:ascii="仿宋" w:hAnsi="仿宋" w:eastAsia="仿宋"/>
          <w:sz w:val="32"/>
          <w:szCs w:val="32"/>
        </w:rPr>
        <w:t>XXXXXX股份有限公司股东关于公开征集表决权的公告</w:t>
      </w:r>
    </w:p>
    <w:p>
      <w:pPr>
        <w:adjustRightInd w:val="0"/>
        <w:spacing w:line="560" w:lineRule="exact"/>
        <w:ind w:firstLine="562"/>
        <w:rPr>
          <w:rFonts w:ascii="仿宋" w:hAnsi="仿宋" w:eastAsia="仿宋" w:cs="宋体"/>
          <w:kern w:val="0"/>
          <w:sz w:val="32"/>
          <w:szCs w:val="32"/>
        </w:rPr>
      </w:pPr>
      <w:r>
        <w:rPr>
          <w:rFonts w:hint="eastAsi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73025</wp:posOffset>
                </wp:positionV>
                <wp:extent cx="5914390" cy="1266825"/>
                <wp:effectExtent l="0" t="0" r="10160" b="28575"/>
                <wp:wrapNone/>
                <wp:docPr id="242" name="矩形 242"/>
                <wp:cNvGraphicFramePr/>
                <a:graphic xmlns:a="http://schemas.openxmlformats.org/drawingml/2006/main">
                  <a:graphicData uri="http://schemas.microsoft.com/office/word/2010/wordprocessingShape">
                    <wps:wsp>
                      <wps:cNvSpPr>
                        <a:spLocks noChangeArrowheads="1"/>
                      </wps:cNvSpPr>
                      <wps:spPr bwMode="auto">
                        <a:xfrm>
                          <a:off x="0" y="0"/>
                          <a:ext cx="5914390" cy="12668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5.75pt;height:99.75pt;width:465.7pt;mso-position-horizontal:center;mso-position-horizontal-relative:margin;z-index:251671552;mso-width-relative:page;mso-height-relative:page;" fillcolor="#FFFFFF" filled="t" stroked="t" coordsize="21600,21600" o:gfxdata="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D4zVdUAAAAHAQAADwAAAAAAAAABACAAAAAiAAAAZHJzL2Rvd25yZXYu&#10;eG1sUEsBAhQAFAAAAAgAh07iQKSNNEY3AgAAfwQAAA4AAAAAAAAAAQAgAAAAJAEAAGRycy9lMm9E&#10;b2MueG1sUEsFBgAAAAAGAAYAWQEAAM0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b/>
          <w:sz w:val="32"/>
          <w:szCs w:val="32"/>
        </w:rPr>
      </w:pP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特别声明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1．本次征集表决权为依法公开征集，征集人XXXX公司符合《证券法》第九十条、《上市公司股东大会规则》第三十一条、《公开征集上市公司股东权利管理暂行规定》第三条规定的征集条件；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2．征集人承诺，自征集日至审议征集议案的股东大会决议公告前不转让所持股份。</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一、征集人的基本情况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1．征集人姓名或名称，截止公告披露日的持股数量及持股比例。</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2．征集人与上市公司董事、监事、高级管理人员、持股5%以上股东、实际控制人及其关联人之间是否存在关联关系，征集人与征集表决权涉及的提案之间是否存在利害关系。</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3．征集人委托证券公司、证券服务机构等中介机构为公开征集提供服务的，应当披露授权委托情况、证券公司和证券服务机构基本情况、与征集人不存在利害关系的声明。</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二、征集表决权的具体事项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1．征集表决权涉及的股东大会届次和提案名称，并索引召集人已发出的股东大会通知公告。</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仅就股东大会部分提案提出投票意见的，应当在公告中明确，同时征求股东对于其他提案的投票意见，并将按被征集人的意见代为表决。</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2．征集主张，包括征集人的投票意向及理由，包括但不限于对上市公司的影响。征集人应当声明，不接受与其投票意见不一致的委托。</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对累积投票提案进行征集表决权的，征集人应当将自己所持有的全部票数表明投票意向，计算累积投票中不同子提案的投票比例。被征集股东应当按照征集人对子提案的投票比例进行委托投票。</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3．征集方案，包括征集期限、征集表决权的确权日、征集方式、征集程序和步骤、股东需提交的授权委托书（具体格式详见附件）等材料和递交方式等。</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4．征集对象为，截至XXXX年XX月XX日（本次股东大会股权登记日）下午收市后，在中国证券登记结算有限责任公司深圳分公司登记在册并办理出席会议登记手续的公司全体股东。</w:t>
      </w:r>
    </w:p>
    <w:p>
      <w:pPr>
        <w:autoSpaceDE w:val="0"/>
        <w:autoSpaceDN w:val="0"/>
        <w:adjustRightInd w:val="0"/>
        <w:spacing w:line="560" w:lineRule="exact"/>
        <w:ind w:right="-58" w:firstLine="480"/>
        <w:rPr>
          <w:rFonts w:ascii="仿宋" w:hAnsi="仿宋" w:eastAsia="仿宋"/>
          <w:b/>
          <w:sz w:val="32"/>
          <w:szCs w:val="32"/>
        </w:rPr>
      </w:pPr>
      <w:r>
        <w:rPr>
          <w:rFonts w:hint="eastAsia" w:ascii="仿宋" w:hAnsi="仿宋" w:eastAsia="仿宋"/>
          <w:b/>
          <w:sz w:val="32"/>
          <w:szCs w:val="32"/>
        </w:rPr>
        <w:t>三、备查文件</w:t>
      </w:r>
    </w:p>
    <w:p>
      <w:pPr>
        <w:autoSpaceDE w:val="0"/>
        <w:autoSpaceDN w:val="0"/>
        <w:adjustRightInd w:val="0"/>
        <w:spacing w:line="560" w:lineRule="exact"/>
        <w:ind w:right="-58" w:firstLine="480"/>
        <w:rPr>
          <w:rFonts w:ascii="仿宋" w:hAnsi="仿宋" w:eastAsia="仿宋"/>
          <w:b/>
          <w:sz w:val="32"/>
          <w:szCs w:val="32"/>
        </w:rPr>
      </w:pPr>
    </w:p>
    <w:p>
      <w:pPr>
        <w:spacing w:line="560" w:lineRule="exact"/>
        <w:ind w:left="4111" w:right="226" w:firstLine="284"/>
        <w:jc w:val="center"/>
        <w:rPr>
          <w:rFonts w:ascii="仿宋" w:hAnsi="仿宋" w:eastAsia="仿宋"/>
          <w:sz w:val="32"/>
          <w:szCs w:val="32"/>
        </w:rPr>
      </w:pPr>
      <w:r>
        <w:rPr>
          <w:rFonts w:hint="eastAsia" w:ascii="仿宋" w:hAnsi="仿宋" w:eastAsia="仿宋"/>
          <w:sz w:val="32"/>
          <w:szCs w:val="32"/>
        </w:rPr>
        <w:t>征集人姓名或名称</w:t>
      </w:r>
    </w:p>
    <w:p>
      <w:pPr>
        <w:spacing w:line="560" w:lineRule="exact"/>
        <w:ind w:right="1120"/>
        <w:jc w:val="center"/>
        <w:rPr>
          <w:rFonts w:ascii="仿宋" w:hAnsi="仿宋" w:eastAsia="仿宋"/>
          <w:sz w:val="32"/>
          <w:szCs w:val="32"/>
        </w:rPr>
      </w:pPr>
      <w:r>
        <w:rPr>
          <w:rFonts w:hint="eastAsia" w:ascii="仿宋" w:hAnsi="仿宋" w:eastAsia="仿宋"/>
          <w:sz w:val="32"/>
          <w:szCs w:val="32"/>
        </w:rPr>
        <w:t xml:space="preserve">                               年 月 日 </w:t>
      </w:r>
    </w:p>
    <w:p>
      <w:pPr>
        <w:widowControl/>
        <w:spacing w:line="560" w:lineRule="exact"/>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w:t>
      </w: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征集表决权授权委托书</w:t>
      </w:r>
    </w:p>
    <w:p>
      <w:pPr>
        <w:spacing w:line="560" w:lineRule="exact"/>
        <w:ind w:firstLine="643" w:firstLineChars="200"/>
        <w:rPr>
          <w:rFonts w:ascii="仿宋" w:hAnsi="仿宋" w:eastAsia="仿宋"/>
          <w:b/>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1．委托人的基本信息，包括姓名或名称、身份证号码或统一社会信用代码、股东账户、持有上市公司股份的性质、数量和比例、联系方式。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2．受托人（应当与本次公告披露的征集人完全一致）的基本信息，包括姓名或名称、身份证号码或统一社会信用代码、股东账户（如适用）、持有上市公司股份的性质、数量和比例（如适用）、联系方式。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授权委托的事项和权限，就XX公司XX次股东大会（明确届次）的XX提案（明确提案名称、提案代码），委托人将所持XX公司全部股份对应的表决权委托给受托人行使，明确委托人的投票意见，是否与受托人已披露的投票意见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对累积投票提案进行征集表决权的，受托人应当将自己所持有的全部票数表明投票意向，计算累积投票中不同子提案的投票比例。委托人应当按照受托人对子提案的投票比例进行委托投票。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受托人仅就股东大会部分提案征集表决权的，委托人应当同时明确对其他提案的投票意见，受托人应当按委托人的意见代为表决。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委托人委托表决权的股份数量以XX次股东大会的股权登记日即XX年XX月XX日持有的股票数量为准（应与股东大会通知公告中披露的股权登记日一致）。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4．授权委托书签署日期和有效期限，授权委托期至本次（明确届次）股东大会开会日即XX年XX月XX日为限。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于受托人代为行使表决权之前撤销委托的，撤销后受托人不得代为行使表决权。委托人未在受托人代为行使表决权之前撤销委托但出席股东大会并在受托人代为行使表决权之前自主行使表决权的，视为已撤销表决权委托授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5．委托人签名（或盖章）；委托人为法人的，应当加盖单位印章。</w:t>
      </w:r>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142" w:name="_Toc91607636"/>
      <w:bookmarkStart w:id="143" w:name="_Toc91782434"/>
      <w:bookmarkStart w:id="144" w:name="_Toc138173222"/>
      <w:bookmarkStart w:id="145" w:name="_Toc439"/>
      <w:bookmarkStart w:id="146" w:name="_Toc91781153"/>
      <w:r>
        <w:rPr>
          <w:rFonts w:hint="eastAsia" w:ascii="方正小标宋简体" w:hAnsi="仿宋" w:eastAsia="方正小标宋简体"/>
          <w:kern w:val="44"/>
          <w:sz w:val="44"/>
          <w:szCs w:val="44"/>
        </w:rPr>
        <w:t>公司治理类第6号　上市公司股东</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征集提案权公告格式</w:t>
      </w:r>
      <w:bookmarkEnd w:id="142"/>
      <w:bookmarkEnd w:id="143"/>
      <w:bookmarkEnd w:id="144"/>
      <w:bookmarkEnd w:id="145"/>
      <w:bookmarkEnd w:id="146"/>
    </w:p>
    <w:p>
      <w:pPr>
        <w:autoSpaceDE w:val="0"/>
        <w:autoSpaceDN w:val="0"/>
        <w:adjustRightInd w:val="0"/>
        <w:spacing w:line="560" w:lineRule="exact"/>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本格式适用于上市公司股东公开征集提案权，上市公司董事会、独立董事、投资者保护机构公开征集提案权的，参照本格式执行。</w: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685" w:leftChars="273" w:hanging="112" w:hangingChars="35"/>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right="360"/>
        <w:jc w:val="center"/>
        <w:rPr>
          <w:rFonts w:ascii="仿宋" w:hAnsi="仿宋" w:eastAsia="仿宋"/>
          <w:sz w:val="32"/>
          <w:szCs w:val="32"/>
        </w:rPr>
      </w:pPr>
      <w:r>
        <w:rPr>
          <w:rFonts w:hint="eastAsia" w:ascii="仿宋" w:hAnsi="仿宋" w:eastAsia="仿宋"/>
          <w:sz w:val="32"/>
          <w:szCs w:val="32"/>
        </w:rPr>
        <w:t>XXXXXX股份有限公司股东关于公开征集提案权的公告</w:t>
      </w:r>
    </w:p>
    <w:p>
      <w:pPr>
        <w:autoSpaceDE w:val="0"/>
        <w:autoSpaceDN w:val="0"/>
        <w:adjustRightInd w:val="0"/>
        <w:spacing w:line="560" w:lineRule="exact"/>
        <w:ind w:right="360" w:firstLine="700"/>
        <w:jc w:val="center"/>
        <w:rPr>
          <w:rFonts w:ascii="仿宋" w:hAnsi="仿宋" w:eastAsia="仿宋"/>
          <w:sz w:val="32"/>
          <w:szCs w:val="32"/>
        </w:rPr>
      </w:pPr>
      <w:r>
        <w:rPr>
          <w:rFonts w:hint="eastAsi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107950</wp:posOffset>
                </wp:positionV>
                <wp:extent cx="5914390" cy="1266825"/>
                <wp:effectExtent l="0" t="0" r="10160" b="28575"/>
                <wp:wrapNone/>
                <wp:docPr id="241" name="矩形 241"/>
                <wp:cNvGraphicFramePr/>
                <a:graphic xmlns:a="http://schemas.openxmlformats.org/drawingml/2006/main">
                  <a:graphicData uri="http://schemas.microsoft.com/office/word/2010/wordprocessingShape">
                    <wps:wsp>
                      <wps:cNvSpPr>
                        <a:spLocks noChangeArrowheads="1"/>
                      </wps:cNvSpPr>
                      <wps:spPr bwMode="auto">
                        <a:xfrm>
                          <a:off x="0" y="0"/>
                          <a:ext cx="5914390" cy="12668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5pt;height:99.75pt;width:465.7pt;mso-position-horizontal:center;mso-position-horizontal-relative:margin;z-index:251672576;mso-width-relative:page;mso-height-relative:page;" fillcolor="#FFFFFF" filled="t" stroked="t" coordsize="21600,21600" o:gfxdata="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rVI7/1gAAAAcBAAAPAAAAAAAAAAEAIAAAACIAAABkcnMvZG93bnJldi54&#10;bWxQSwECFAAUAAAACACHTuJAsw7ovTUCAAB/BAAADgAAAAAAAAABACAAAAAlAQAAZHJzL2Uyb0Rv&#10;Yy54bWxQSwUGAAAAAAYABgBZAQAAzAU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utoSpaceDE w:val="0"/>
        <w:autoSpaceDN w:val="0"/>
        <w:adjustRightInd w:val="0"/>
        <w:spacing w:line="560" w:lineRule="exact"/>
        <w:ind w:right="360" w:firstLine="700"/>
        <w:jc w:val="center"/>
        <w:rPr>
          <w:rFonts w:ascii="仿宋" w:hAnsi="仿宋" w:eastAsia="仿宋"/>
          <w:sz w:val="32"/>
          <w:szCs w:val="32"/>
        </w:rPr>
      </w:pPr>
    </w:p>
    <w:p>
      <w:pPr>
        <w:autoSpaceDE w:val="0"/>
        <w:autoSpaceDN w:val="0"/>
        <w:adjustRightInd w:val="0"/>
        <w:spacing w:line="560" w:lineRule="exact"/>
        <w:ind w:right="360" w:firstLine="700"/>
        <w:jc w:val="center"/>
        <w:rPr>
          <w:rFonts w:ascii="仿宋" w:hAnsi="仿宋" w:eastAsia="仿宋"/>
          <w:sz w:val="32"/>
          <w:szCs w:val="32"/>
        </w:rPr>
      </w:pPr>
    </w:p>
    <w:p>
      <w:pPr>
        <w:autoSpaceDE w:val="0"/>
        <w:autoSpaceDN w:val="0"/>
        <w:adjustRightInd w:val="0"/>
        <w:spacing w:line="560" w:lineRule="exact"/>
        <w:ind w:firstLine="562"/>
        <w:rPr>
          <w:rFonts w:ascii="仿宋" w:hAnsi="仿宋" w:eastAsia="仿宋"/>
          <w:b/>
          <w:sz w:val="32"/>
          <w:szCs w:val="32"/>
        </w:rPr>
      </w:pP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特别声明</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1．本次征集提案权为依法公开征集，征集人XXXX公司符合《证券法》第九十条、《上市公司股东大会规则》第三十一条、《公开征集上市公司股东权利管理暂行规定》第三条规定的征集条件。</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2．征集人承诺，自征集日至审议征集议案的股东大会决议公告前不转让所持股份。</w:t>
      </w:r>
    </w:p>
    <w:p>
      <w:pPr>
        <w:autoSpaceDE w:val="0"/>
        <w:autoSpaceDN w:val="0"/>
        <w:adjustRightInd w:val="0"/>
        <w:spacing w:line="560" w:lineRule="exact"/>
        <w:ind w:right="-58" w:firstLine="640" w:firstLineChars="200"/>
        <w:rPr>
          <w:rFonts w:ascii="仿宋" w:hAnsi="仿宋" w:eastAsia="仿宋"/>
          <w:b/>
          <w:sz w:val="32"/>
          <w:szCs w:val="32"/>
        </w:rPr>
      </w:pPr>
      <w:r>
        <w:rPr>
          <w:rFonts w:hint="eastAsia" w:ascii="仿宋" w:hAnsi="仿宋" w:eastAsia="仿宋"/>
          <w:sz w:val="32"/>
          <w:szCs w:val="32"/>
        </w:rPr>
        <w:t>3．本次征集提案权涉及的提案内容属于股东大会职权范围，符合法律法规、本所业务规则和公司章程的有关规定，本次提案内容有明确的议题和具体决议事项。</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一、征集人的基本情况</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1．征集人姓名或名称，截止公告披露日的持股数量及持股比例。</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2．征集人与上市公司董事、监事、高级管理人员、持股5%以上股东、实际控制人及其关联人之间是否存在关联关系，征集人与征集提案权涉及的提案之间是否存在利害关系。</w:t>
      </w:r>
    </w:p>
    <w:p>
      <w:pPr>
        <w:autoSpaceDE w:val="0"/>
        <w:autoSpaceDN w:val="0"/>
        <w:adjustRightInd w:val="0"/>
        <w:spacing w:line="560" w:lineRule="exact"/>
        <w:ind w:right="-57" w:firstLine="640" w:firstLineChars="200"/>
        <w:rPr>
          <w:rFonts w:ascii="仿宋" w:hAnsi="仿宋" w:eastAsia="仿宋"/>
          <w:sz w:val="32"/>
          <w:szCs w:val="32"/>
        </w:rPr>
      </w:pPr>
      <w:r>
        <w:rPr>
          <w:rFonts w:hint="eastAsia" w:ascii="仿宋" w:hAnsi="仿宋" w:eastAsia="仿宋"/>
          <w:sz w:val="32"/>
          <w:szCs w:val="32"/>
        </w:rPr>
        <w:t>3．征集人委托证券公司、证券服务机构等中介机构为公开征集提供服务的，应当披露授权委托情况、证券公司和证券服务机构基本情况、与征集人不存在利害关系的声明。</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二、征集提案权的具体事项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1．征集主张，提案名称和提案内容，并提供股东对拟讨论的事项作出合理决策所需的全部资料或解释。</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提案内容涉及应披露事项时，应当按照相关规则、指引和公告格式披露事项的具体内容。</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2．征集理由，说明提案涉及的事项可能对上市公司产生的影响。</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3．公司已经披露股东大会通知的，索引召集人已发出的股东大会通知公告，并作出以下提示：如征集结果满足行使提案权的持股比例要求，相关提案将在不晚于股东大会召开前10日以临时提案的形式书面提交股东大会审议。</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公司尚未披露股东大会通知的，应作出以下提示：如征集结果满足行使提案权的持股比例要求，相关提案将提交XX公司最近一次股东大会审议，具体以股东大会通知公告为准。</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4．征集方案，包括征集期限、征集提案权的确权日、征集提案权结束日、征集方式、征集程序和步骤、股东需提交的授权委托书（具体格式详见附件）等材料和递交方式等。</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征集提案权的确权日和结束日应当具体到XX年XX月XX日。确权日应当为股东大会通知披露日，结束日应当为股东大会召开前10日。公司尚未发出股东大会通知的，确权日为最近一期股东大会通知披露日，结束日应当为最近一期股东大会召开前10日。</w:t>
      </w:r>
    </w:p>
    <w:p>
      <w:pPr>
        <w:autoSpaceDE w:val="0"/>
        <w:autoSpaceDN w:val="0"/>
        <w:adjustRightInd w:val="0"/>
        <w:spacing w:line="560" w:lineRule="exact"/>
        <w:ind w:right="-58" w:firstLine="640" w:firstLineChars="200"/>
        <w:rPr>
          <w:rFonts w:ascii="仿宋" w:hAnsi="仿宋" w:eastAsia="仿宋"/>
          <w:sz w:val="32"/>
          <w:szCs w:val="32"/>
        </w:rPr>
      </w:pPr>
      <w:r>
        <w:rPr>
          <w:rFonts w:hint="eastAsia" w:ascii="仿宋" w:hAnsi="仿宋" w:eastAsia="仿宋"/>
          <w:sz w:val="32"/>
          <w:szCs w:val="32"/>
        </w:rPr>
        <w:t>5．征集对象为，截至最近一期股东大会通知发出日，在中国证券登记结算有限责任公司深圳分公司登记在册的公司全体股东。</w:t>
      </w:r>
    </w:p>
    <w:p>
      <w:pPr>
        <w:autoSpaceDE w:val="0"/>
        <w:autoSpaceDN w:val="0"/>
        <w:adjustRightInd w:val="0"/>
        <w:spacing w:line="560" w:lineRule="exact"/>
        <w:ind w:right="-58" w:firstLine="643" w:firstLineChars="200"/>
        <w:rPr>
          <w:rFonts w:ascii="仿宋" w:hAnsi="仿宋" w:eastAsia="仿宋"/>
          <w:b/>
          <w:sz w:val="32"/>
          <w:szCs w:val="32"/>
        </w:rPr>
      </w:pPr>
      <w:r>
        <w:rPr>
          <w:rFonts w:hint="eastAsia" w:ascii="仿宋" w:hAnsi="仿宋" w:eastAsia="仿宋"/>
          <w:b/>
          <w:sz w:val="32"/>
          <w:szCs w:val="32"/>
        </w:rPr>
        <w:t>三、备查文件</w:t>
      </w:r>
    </w:p>
    <w:p>
      <w:pPr>
        <w:spacing w:line="560" w:lineRule="exact"/>
        <w:ind w:left="4111" w:right="226" w:firstLine="284"/>
        <w:jc w:val="center"/>
        <w:rPr>
          <w:rFonts w:ascii="仿宋" w:hAnsi="仿宋" w:eastAsia="仿宋"/>
          <w:sz w:val="32"/>
          <w:szCs w:val="32"/>
        </w:rPr>
      </w:pPr>
    </w:p>
    <w:p>
      <w:pPr>
        <w:spacing w:line="560" w:lineRule="exact"/>
        <w:ind w:left="4111" w:right="226" w:firstLine="284"/>
        <w:jc w:val="center"/>
        <w:rPr>
          <w:rFonts w:ascii="仿宋" w:hAnsi="仿宋" w:eastAsia="仿宋"/>
          <w:sz w:val="32"/>
          <w:szCs w:val="32"/>
        </w:rPr>
      </w:pPr>
      <w:r>
        <w:rPr>
          <w:rFonts w:hint="eastAsia" w:ascii="仿宋" w:hAnsi="仿宋" w:eastAsia="仿宋"/>
          <w:sz w:val="32"/>
          <w:szCs w:val="32"/>
        </w:rPr>
        <w:t>征集人姓名或名称</w:t>
      </w:r>
    </w:p>
    <w:p>
      <w:pPr>
        <w:spacing w:line="560" w:lineRule="exact"/>
        <w:ind w:right="724" w:firstLine="5120" w:firstLineChars="1600"/>
        <w:rPr>
          <w:rFonts w:ascii="仿宋" w:hAnsi="仿宋" w:eastAsia="仿宋"/>
          <w:sz w:val="32"/>
          <w:szCs w:val="32"/>
        </w:rPr>
      </w:pPr>
      <w:r>
        <w:rPr>
          <w:rFonts w:hint="eastAsia" w:ascii="仿宋" w:hAnsi="仿宋" w:eastAsia="仿宋"/>
          <w:sz w:val="32"/>
          <w:szCs w:val="32"/>
        </w:rPr>
        <w:t>年  月  日</w:t>
      </w:r>
    </w:p>
    <w:p>
      <w:pPr>
        <w:widowControl/>
        <w:spacing w:line="560" w:lineRule="exact"/>
        <w:rPr>
          <w:rFonts w:ascii="黑体" w:hAnsi="黑体" w:eastAsia="黑体"/>
          <w:sz w:val="32"/>
          <w:szCs w:val="32"/>
        </w:rPr>
      </w:pPr>
      <w:r>
        <w:rPr>
          <w:rFonts w:hint="eastAsia" w:ascii="仿宋" w:hAnsi="仿宋" w:eastAsia="仿宋"/>
          <w:sz w:val="32"/>
          <w:szCs w:val="32"/>
        </w:rPr>
        <w:br w:type="page"/>
      </w:r>
      <w:r>
        <w:rPr>
          <w:rFonts w:hint="eastAsia" w:ascii="黑体" w:hAnsi="黑体" w:eastAsia="黑体"/>
          <w:sz w:val="32"/>
          <w:szCs w:val="32"/>
        </w:rPr>
        <w:t>附件</w:t>
      </w:r>
    </w:p>
    <w:p>
      <w:pPr>
        <w:widowControl/>
        <w:spacing w:line="560" w:lineRule="exact"/>
        <w:rPr>
          <w:rFonts w:ascii="黑体" w:hAnsi="黑体" w:eastAsia="黑体"/>
          <w:sz w:val="32"/>
          <w:szCs w:val="32"/>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征集提案权授权委托书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授权委托书应当包括如下信息：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1．委托人的基本信息，包括姓名或名称、身份证号码或统一社会信用代码、股东账户、持有上市公司股份的性质、数量和比例、联系方式。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2．受托人（应当与本次公告披露的征集人完全一致）的基本信息，包括姓名或名称、身份证号码或统一社会信用代码、股东账户（如适用）、持有上市公司股份的性质、数量和比例（如适用）、联系方式。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3．授权委托的事项和权限，就XX公司XX次股东大会（明确届次，如适用）的XX提案（明确提案名称、提案编码），委托人将所持XX公司全部股份对应的提案权委托给受托人行使。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委托人委托提案权的股份数量以XX次股东大会通知披露日的持股数量为准，尚未发出股东大会通知的，以下一次股东大会通知的披露日为准。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4．授权委托书签署日期和有效期限，授权委托期至XX公司最近一期股东大会开会日为限。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委托人撤销提案权授权委托的，应当在确权日前书面通知受托人。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5．委托人签名（或盖章）；委托人为法人的，应当加盖单位印章。</w:t>
      </w:r>
    </w:p>
    <w:p>
      <w:pPr>
        <w:keepNext/>
        <w:keepLines/>
        <w:spacing w:before="340" w:line="560" w:lineRule="exact"/>
        <w:jc w:val="center"/>
        <w:outlineLvl w:val="2"/>
        <w:rPr>
          <w:rFonts w:ascii="方正小标宋简体" w:hAnsi="仿宋" w:eastAsia="方正小标宋简体"/>
          <w:kern w:val="44"/>
          <w:sz w:val="44"/>
          <w:szCs w:val="44"/>
        </w:rPr>
      </w:pPr>
      <w:bookmarkStart w:id="147" w:name="_Toc40795923"/>
      <w:bookmarkStart w:id="148" w:name="_Toc91782435"/>
      <w:bookmarkStart w:id="149" w:name="_Toc91607637"/>
      <w:bookmarkStart w:id="150" w:name="_Toc91781154"/>
      <w:bookmarkStart w:id="151" w:name="_Toc40813195"/>
      <w:bookmarkStart w:id="152" w:name="_Toc8424"/>
      <w:bookmarkStart w:id="153" w:name="_Toc60758265"/>
      <w:bookmarkStart w:id="154" w:name="_Toc138173223"/>
      <w:r>
        <w:rPr>
          <w:rFonts w:hint="eastAsia" w:ascii="方正小标宋简体" w:hAnsi="仿宋" w:eastAsia="方正小标宋简体"/>
          <w:kern w:val="44"/>
          <w:sz w:val="44"/>
          <w:szCs w:val="44"/>
        </w:rPr>
        <w:t>公司治理类第7号　上市公司独立董事</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提名人及候选人声明</w:t>
      </w:r>
      <w:r>
        <w:rPr>
          <w:rFonts w:hint="eastAsia" w:eastAsia="方正小标宋简体" w:asciiTheme="minorHAnsi" w:hAnsiTheme="minorHAnsi"/>
          <w:kern w:val="44"/>
          <w:sz w:val="44"/>
          <w:szCs w:val="44"/>
        </w:rPr>
        <w:t>与承诺</w:t>
      </w:r>
      <w:r>
        <w:rPr>
          <w:rFonts w:hint="eastAsia" w:ascii="方正小标宋简体" w:hAnsi="仿宋" w:eastAsia="方正小标宋简体"/>
          <w:kern w:val="44"/>
          <w:sz w:val="44"/>
          <w:szCs w:val="44"/>
        </w:rPr>
        <w:t>公告格式</w:t>
      </w:r>
      <w:bookmarkEnd w:id="147"/>
      <w:bookmarkEnd w:id="148"/>
      <w:bookmarkEnd w:id="149"/>
      <w:bookmarkEnd w:id="150"/>
      <w:bookmarkEnd w:id="151"/>
      <w:bookmarkEnd w:id="152"/>
      <w:bookmarkEnd w:id="153"/>
      <w:bookmarkEnd w:id="154"/>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111" w:leftChars="53"/>
        <w:jc w:val="center"/>
        <w:rPr>
          <w:rFonts w:ascii="仿宋" w:hAnsi="仿宋" w:eastAsia="仿宋"/>
          <w:sz w:val="32"/>
          <w:szCs w:val="32"/>
        </w:rPr>
      </w:pPr>
      <w:r>
        <w:rPr>
          <w:rFonts w:hint="eastAsia" w:ascii="仿宋" w:hAnsi="仿宋" w:eastAsia="仿宋"/>
          <w:sz w:val="32"/>
          <w:szCs w:val="32"/>
        </w:rPr>
        <w:t xml:space="preserve"> 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XXXXXX股份有限公司独立董事提名人声明与承诺</w:t>
      </w:r>
    </w:p>
    <w:p>
      <w:pPr>
        <w:snapToGrid w:val="0"/>
        <w:spacing w:line="560" w:lineRule="exact"/>
        <w:rPr>
          <w:rFonts w:ascii="仿宋" w:hAnsi="仿宋" w:eastAsia="仿宋"/>
          <w:sz w:val="32"/>
          <w:szCs w:val="32"/>
        </w:rPr>
      </w:pP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XXX现就提名XXX为XXXXXX股份有限公司第XX届董事会独立董事候选人发表公开声明。被提名人已书面同意作为XXXXXX股份有限公司第XX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一、被提名人已经通过XXXXXX股份有限公司第XX届董事会提名委员会或者独立董事专门会议资格审查，提名人与被提名人不存在利害关系或者其他可能影响独立履职情形的密切关系。</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二、被提名人不存在《中华人民共和国公司法》第一百四十六条等规定不得担任公司董事的情形。</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三、被提名人符合中国证监会《上市公司独立董事管理办法》和深圳证券交易所业务规则规定的独立董事任职资格和条件。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四、被提名人符合公司章程规定的独立董事任职条件。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五、被提名人已经参加培训并取得证券交易所认可的相关培训证明材料（如有）。</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六、被提名人担任独立董事不会违反《中华人民共和国公务员法》的相关规定。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七、被提名人担任独立董事不会违反中共中央纪委《关于规范中管干部辞去公职或者退（离）休后担任上市公司、基金管理公司独立董事、独立监事的通知》的相关规定。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八、被提名人担任独立董事不会违反中共中央组织部《关于进一步规范党政领导干部在企业兼职（任职）问题的意见》的相关规定。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 xml:space="preserve">九、被提名人担任独立董事不会违反中共中央纪委、教育部、监察部《关于加强高等学校反腐倡廉建设的意见》的相关规定。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十、被提名人担任独立董事不会违反中国人民银行《股份制商业银行独立董事和外部监事制度指引》的相关规定。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十一、被提名人担任独立董事不会违反中国证监会《证券基金经营机构董事、监事、高级管理人员及从业人员监督管理办法》的相关规定。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十二、被提名人担任独立董事不会违反《银行业金融机构董事（理事）和高级管理人员任职资格管理办法》的相关规定。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十三、被提名人担任独立董事不会违反《保险公司董事、监事和高级管理人员任职资格管理规定》《保险机构独立董事</w:t>
      </w:r>
      <w:r>
        <w:rPr>
          <w:rFonts w:hint="eastAsia" w:ascii="仿宋" w:hAnsi="仿宋" w:eastAsia="仿宋"/>
          <w:color w:val="000000"/>
          <w:sz w:val="32"/>
          <w:szCs w:val="32"/>
        </w:rPr>
        <w:t>管理办法</w:t>
      </w:r>
      <w:r>
        <w:rPr>
          <w:rFonts w:hint="eastAsia" w:ascii="仿宋" w:hAnsi="仿宋" w:eastAsia="仿宋"/>
          <w:sz w:val="32"/>
          <w:szCs w:val="32"/>
        </w:rPr>
        <w:t xml:space="preserve">》的相关规定。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十四、被提名人担任独立董事不会违反其他法律、行政法规、部门规章、规范性文件和深圳证券交易所业务规则等对于独立董事任职资格的相关规定。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六、以会计专业人士被提名的，被提名人至少具备注册会计师资格，或具有会计、审计或者财务管理专业的高级职称、副教授或以上职称、博士学位，或具有经济管理方面高级职称且在会计、审计或者财务管理等专业岗位有5年以上全职工作经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十七、被提名人及其直系亲属、主要社会关系均不在公司及其附属企业任职。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十八、被提名人及其直系亲属不是直接或间接持有公司已发行股份1%以上的股东，也不是上市公司前十名股东中自然人股东。</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十九、被提名人及其直系亲属不在直接或间接持有公司已发行股份5%以上的股东任职，也不在上市公司前五名股东任职。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二十、被提名人及其直系亲属不在公司控股股东、实际控制人的附属企业任职。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二十一、被提名人不是为公司及其控股股东、实际控制人或者其各自附属企业提供财务、法律、咨询、保荐等服务的人员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二十二、被提名人与上市公司及其控股股东、实际控制人或者其各自的附属企业不存在重大业务往来，也不在有重大业务往来的单位及其控股股东、实际控制人任职。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二十三、被提名人在最近十二个月内不具有第十七项至第二十二项所列任一种情形。</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二十四、被提名人不是被中国证监会采取证券市场禁入措施，且期限尚未届满的人员。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二十五、被提名人不是被证券交易场所公开认定不适合担任上市公司董事、监事和高级管理人员，且期限尚未届满的人员。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二十六、被提名人不是最近三十六个月内因证券期货犯罪，受到司法机关刑事处罚或者中国证监会行政处罚的人员。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二十七、被提名人不是因涉嫌证券期货违法犯罪，被中国证监会立案调查或者被司法机关立案侦查，尚未有明确结论意见的人员。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二十八、被提名人最近三十六个月未受到证券交易所公开谴责或三次以上通报批评。</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二十九、被提名人不存在重大失信等不良记录。</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三十、被提名人不是过往任职独立董事期间因连续两次未能亲自出席也不委托其他董事出席董事会会议被董事会提请股东大会予以解除职务，未满十二个月的人员。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三十一、包括本次提名的公司在内，被提名人担任独立董事的境内上市公司数量不超过三家。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r>
        <w:rPr>
          <w:rFonts w:hint="eastAsia" w:ascii="仿宋" w:hAnsi="仿宋" w:eastAsia="仿宋"/>
          <w:kern w:val="0"/>
          <w:sz w:val="32"/>
          <w:szCs w:val="32"/>
        </w:rPr>
        <w:t>三十二、被提名人在公司连续担任独立董事未超过六年。</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147" w:firstLine="640" w:firstLineChars="200"/>
        <w:rPr>
          <w:rFonts w:ascii="仿宋" w:hAnsi="仿宋" w:eastAsia="仿宋"/>
          <w:sz w:val="32"/>
          <w:szCs w:val="32"/>
        </w:rPr>
      </w:pP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提名人郑重承诺：</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一、本提名人保证上述声明真实、准确、完整，没有虚假记载、误导性陈述或重大遗漏；否则，本提名人愿意承担由此引起的法律责任和接受深圳证券交易所的自律监管措施或纪律处分。</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二、本提名人授权公司董事会秘书将本声明的内容通过深圳证券交易所业务专区录入、报送给深圳证券交易所或对外公告，董事会秘书的上述行为视同为本提名人行为，由本提名人承担相应的法律责任。</w:t>
      </w:r>
    </w:p>
    <w:p>
      <w:pPr>
        <w:snapToGrid w:val="0"/>
        <w:spacing w:line="560" w:lineRule="exact"/>
        <w:ind w:left="147" w:firstLine="640" w:firstLineChars="200"/>
        <w:rPr>
          <w:rFonts w:ascii="仿宋" w:hAnsi="仿宋" w:eastAsia="仿宋"/>
          <w:kern w:val="0"/>
          <w:sz w:val="32"/>
          <w:szCs w:val="32"/>
        </w:rPr>
      </w:pPr>
      <w:r>
        <w:rPr>
          <w:rFonts w:hint="eastAsia" w:ascii="仿宋" w:hAnsi="仿宋" w:eastAsia="仿宋"/>
          <w:kern w:val="0"/>
          <w:sz w:val="32"/>
          <w:szCs w:val="32"/>
        </w:rPr>
        <w:t>三、被提名人担任独立董事期间，如出现不符合独立性要求及独立董事任职资格情形的，本提名人将及时向公司董事会报告并督促被提名人立即辞去独立董事职务。</w:t>
      </w:r>
    </w:p>
    <w:p>
      <w:pPr>
        <w:snapToGrid w:val="0"/>
        <w:spacing w:line="560" w:lineRule="exact"/>
        <w:ind w:left="147" w:firstLine="640" w:firstLineChars="200"/>
        <w:rPr>
          <w:rFonts w:ascii="仿宋" w:hAnsi="仿宋" w:eastAsia="仿宋"/>
          <w:kern w:val="0"/>
          <w:sz w:val="32"/>
          <w:szCs w:val="32"/>
        </w:rPr>
      </w:pPr>
    </w:p>
    <w:p>
      <w:pPr>
        <w:snapToGrid w:val="0"/>
        <w:spacing w:line="560" w:lineRule="exact"/>
        <w:ind w:left="147" w:firstLine="640" w:firstLineChars="200"/>
        <w:rPr>
          <w:rFonts w:ascii="仿宋" w:hAnsi="仿宋" w:eastAsia="仿宋"/>
          <w:sz w:val="32"/>
          <w:szCs w:val="32"/>
        </w:rPr>
      </w:pPr>
    </w:p>
    <w:p>
      <w:pPr>
        <w:snapToGrid w:val="0"/>
        <w:spacing w:line="560" w:lineRule="exact"/>
        <w:ind w:left="420" w:firstLine="560"/>
        <w:jc w:val="right"/>
        <w:rPr>
          <w:rFonts w:ascii="仿宋" w:hAnsi="仿宋" w:eastAsia="仿宋"/>
          <w:sz w:val="32"/>
          <w:szCs w:val="32"/>
        </w:rPr>
      </w:pPr>
      <w:r>
        <w:rPr>
          <w:rFonts w:hint="eastAsia" w:ascii="仿宋" w:hAnsi="仿宋" w:eastAsia="仿宋"/>
          <w:sz w:val="32"/>
          <w:szCs w:val="32"/>
        </w:rPr>
        <w:t xml:space="preserve">  提名人（</w:t>
      </w:r>
      <w:r>
        <w:rPr>
          <w:rFonts w:hint="eastAsia" w:ascii="仿宋" w:hAnsi="仿宋" w:eastAsia="仿宋"/>
          <w:kern w:val="0"/>
          <w:sz w:val="32"/>
          <w:szCs w:val="32"/>
        </w:rPr>
        <w:t>签署/盖章</w:t>
      </w:r>
      <w:r>
        <w:rPr>
          <w:rFonts w:hint="eastAsia" w:ascii="仿宋" w:hAnsi="仿宋" w:eastAsia="仿宋"/>
          <w:sz w:val="32"/>
          <w:szCs w:val="32"/>
        </w:rPr>
        <w:t>）：</w:t>
      </w:r>
    </w:p>
    <w:p>
      <w:pPr>
        <w:snapToGrid w:val="0"/>
        <w:spacing w:line="560" w:lineRule="exact"/>
        <w:ind w:left="420" w:firstLine="560"/>
        <w:jc w:val="right"/>
        <w:rPr>
          <w:rFonts w:ascii="仿宋" w:hAnsi="仿宋" w:eastAsia="仿宋"/>
          <w:sz w:val="32"/>
          <w:szCs w:val="32"/>
        </w:rPr>
      </w:pPr>
      <w:r>
        <w:rPr>
          <w:rFonts w:hint="eastAsia" w:ascii="仿宋" w:hAnsi="仿宋" w:eastAsia="仿宋"/>
          <w:sz w:val="32"/>
          <w:szCs w:val="32"/>
        </w:rPr>
        <w:t>XXXX年XX月XX日</w:t>
      </w:r>
    </w:p>
    <w:p>
      <w:pPr>
        <w:snapToGrid w:val="0"/>
        <w:spacing w:line="560" w:lineRule="exact"/>
        <w:ind w:left="420" w:firstLine="560"/>
        <w:jc w:val="right"/>
        <w:rPr>
          <w:rFonts w:ascii="仿宋" w:hAnsi="仿宋" w:eastAsia="仿宋"/>
          <w:sz w:val="32"/>
          <w:szCs w:val="32"/>
        </w:rPr>
      </w:pPr>
    </w:p>
    <w:p>
      <w:pPr>
        <w:snapToGrid w:val="0"/>
        <w:spacing w:line="560" w:lineRule="exact"/>
        <w:ind w:left="147" w:firstLine="643" w:firstLineChars="200"/>
        <w:rPr>
          <w:rFonts w:ascii="仿宋" w:hAnsi="仿宋" w:eastAsia="仿宋"/>
          <w:b/>
          <w:sz w:val="32"/>
          <w:szCs w:val="32"/>
        </w:rPr>
      </w:pPr>
      <w:r>
        <w:rPr>
          <w:rFonts w:hint="eastAsia" w:ascii="仿宋" w:hAnsi="仿宋" w:eastAsia="仿宋"/>
          <w:b/>
          <w:sz w:val="32"/>
          <w:szCs w:val="32"/>
        </w:rPr>
        <w:t>披露公告所需报备文件：</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1．提名人签署的声明；</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2．提名人的身份证明文件；</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3. 董事会提名委员会或者独立董事专门会议对任职资格的审查意见；</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4．提名独立董事候选人的董事会决议（如有）；</w:t>
      </w:r>
    </w:p>
    <w:p>
      <w:pPr>
        <w:snapToGrid w:val="0"/>
        <w:spacing w:line="560" w:lineRule="exact"/>
        <w:ind w:left="147" w:firstLine="640" w:firstLineChars="200"/>
        <w:rPr>
          <w:rFonts w:ascii="仿宋" w:hAnsi="仿宋" w:eastAsia="仿宋"/>
          <w:sz w:val="32"/>
          <w:szCs w:val="32"/>
        </w:rPr>
      </w:pPr>
      <w:r>
        <w:rPr>
          <w:rFonts w:hint="eastAsia" w:ascii="仿宋" w:hAnsi="仿宋" w:eastAsia="仿宋"/>
          <w:sz w:val="32"/>
          <w:szCs w:val="32"/>
        </w:rPr>
        <w:t xml:space="preserve">5．深交所要求的其他文件。 </w:t>
      </w:r>
    </w:p>
    <w:p>
      <w:pPr>
        <w:autoSpaceDE w:val="0"/>
        <w:autoSpaceDN w:val="0"/>
        <w:adjustRightInd w:val="0"/>
        <w:spacing w:line="560" w:lineRule="exact"/>
        <w:ind w:left="283" w:leftChars="135"/>
        <w:jc w:val="center"/>
        <w:rPr>
          <w:rFonts w:ascii="仿宋" w:hAnsi="仿宋" w:eastAsia="仿宋"/>
          <w:sz w:val="32"/>
          <w:szCs w:val="32"/>
        </w:rPr>
      </w:pPr>
      <w:r>
        <w:rPr>
          <w:rFonts w:hint="eastAsia" w:ascii="仿宋" w:hAnsi="仿宋" w:eastAsia="仿宋"/>
          <w:sz w:val="32"/>
          <w:szCs w:val="32"/>
        </w:rPr>
        <w:br w:type="page"/>
      </w:r>
      <w:r>
        <w:rPr>
          <w:rFonts w:hint="eastAsia" w:ascii="仿宋" w:hAnsi="仿宋" w:eastAsia="仿宋"/>
          <w:sz w:val="32"/>
          <w:szCs w:val="32"/>
        </w:rPr>
        <w:t xml:space="preserve"> 证券代码：        证券简称：        公告编号：</w:t>
      </w:r>
    </w:p>
    <w:p>
      <w:pPr>
        <w:snapToGrid w:val="0"/>
        <w:spacing w:line="560" w:lineRule="exact"/>
        <w:ind w:firstLine="1280" w:firstLineChars="400"/>
        <w:rPr>
          <w:rFonts w:ascii="仿宋" w:hAnsi="仿宋" w:eastAsia="仿宋"/>
          <w:sz w:val="32"/>
          <w:szCs w:val="32"/>
        </w:rPr>
      </w:pPr>
      <w:r>
        <w:rPr>
          <w:rFonts w:hint="eastAsia" w:ascii="仿宋" w:hAnsi="仿宋" w:eastAsia="仿宋"/>
          <w:sz w:val="32"/>
          <w:szCs w:val="32"/>
        </w:rPr>
        <w:t>XXXXXX股份有限公司独立董事候选人声明与承诺</w:t>
      </w:r>
    </w:p>
    <w:p>
      <w:pPr>
        <w:snapToGrid w:val="0"/>
        <w:spacing w:line="560" w:lineRule="exact"/>
        <w:ind w:left="420" w:firstLine="560"/>
        <w:rPr>
          <w:rFonts w:ascii="仿宋" w:hAnsi="仿宋" w:eastAsia="仿宋"/>
          <w:sz w:val="32"/>
          <w:szCs w:val="32"/>
        </w:rPr>
      </w:pPr>
    </w:p>
    <w:p>
      <w:pPr>
        <w:snapToGrid w:val="0"/>
        <w:spacing w:line="560" w:lineRule="exact"/>
        <w:ind w:left="149" w:firstLine="640" w:firstLineChars="200"/>
        <w:rPr>
          <w:rFonts w:ascii="仿宋" w:hAnsi="仿宋" w:eastAsia="仿宋"/>
          <w:sz w:val="32"/>
          <w:szCs w:val="32"/>
        </w:rPr>
      </w:pPr>
      <w:r>
        <w:rPr>
          <w:rFonts w:hint="eastAsia" w:ascii="仿宋" w:hAnsi="仿宋" w:eastAsia="仿宋"/>
          <w:sz w:val="32"/>
          <w:szCs w:val="32"/>
        </w:rPr>
        <w:t>声明人XXX作为XXXXXX股份有限公司第XX届董事会独立董事候选人，已充分了解并同意由提名人XXXX提名为XXXX股份有限公司（以下简称该公司）第XX届董事会独立董事候选人。现公开声明和保证，本人与该公司之间不存在任何影响本人独立性的关系，且符合相关法律、行政法规、部门规章、规范性文件和深圳证券交易所业务规则对独立董事候选人任职资格及独立性的要求，具体声明并承诺如下事项：</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一、本人已经通过XXXXXX股份有限公司第XX届董事会提名委员会或者独立董事专门会议资格审查，提名人与本人不存在利害关系或者其他可能影响独立履职情形的密切关系。</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二、本人不存在《中华人民共和国公司法》第一百四十六条等规定不得担任公司董事的情形。</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三、本人符合中国证监会《上市公司独立董事管理办法》和深圳证券交易所业务规则规定的独立董事任职资格和条件。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四、本人符合该公司章程规定的独立董事任职条件。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五、本人已经参加培训并取得证券交易所认可的相关培训证明材料（如有）。</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六、本人担任独立董事不会违反《中华人民共和国公务员法》的相关规定。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七、本人担任独立董事不会违反中共中央纪委《关于规范中管干部辞去公职或者退（离）休后担任上市公司、基金管理公司独立董事、独立监事的通知》的相关规定。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八、本人担任独立董事不会违反中共中央组织部《关于进一步规范党政领导干部在企业兼职（任职）问题的意见》的相关规定。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九、本人担任独立董事不会违反中共中央纪委、教育部、监察部《关于加强高等学校反腐倡廉建设的意见》的相关规定。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十、本人担任独立董事不会违反中国人民银行《股份制商业银行独立董事和外部监事制度指引》的相关规定。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十一、本人担任独立董事不会违反中国证监会《证券基金经营机构董事、监事、高级管理人员及从业人员监督管理办法》的相关规定。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十二、本人担任独立董事不会违反《银行业金融机构董事（理事）和高级管理人员任职资格管理办法》的相关规定。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十三、本人担任独立董事不会违反《保险公司董事、监事和高级管理人员任职资格管理规定》《保险机构独立董事管理办法》的相关规定。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十四、本人担任独立董事不会违反其他法律、行政法规、部门规章、规范性文件和深圳证券交易所业务规则等对于独立董事任职资格的相关规定。</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六、以会计专业人士被提名的，候选人至少具备注册会计师资格，或具有会计、审计或者财务管理专业的高级职称、副教授或以上职称、博士学位，或具有经济管理方面高级职称且在会计、审计或者财务管理等专业岗位有5年以上全职工作经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r>
        <w:rPr>
          <w:rFonts w:hint="eastAsia" w:ascii="仿宋" w:hAnsi="仿宋" w:eastAsia="仿宋"/>
          <w:sz w:val="32"/>
          <w:szCs w:val="32"/>
        </w:rPr>
        <w:tab/>
      </w:r>
      <w:r>
        <w:rPr>
          <w:rFonts w:hint="eastAsia" w:ascii="仿宋" w:hAnsi="仿宋" w:eastAsia="仿宋"/>
          <w:sz w:val="32"/>
          <w:szCs w:val="32"/>
        </w:rPr>
        <w:t xml:space="preserve">□ 不适用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十七、本人及本人直系亲属、主要社会关系均不在该公司及其附属企业任职。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十八、本人及本人直系亲属不是直接或间接持有该公司已发行股份1%以上的股东，也不是该上市公司前十名股东中自然人股东。</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十九、本人及本人直系亲属不在直接或间接持有该公司已发行股份5%以上的股东任职，也不在该上市公司前五名股东任职。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二十、本人及本人直系亲属不在该公司控股股东、实际控制人的附属企业任职。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二十一、本人不是为该公司及其控股股东、实际控制人或者其各自附属企业提供财务、法律、咨询、保荐等服务的人员，</w:t>
      </w:r>
      <w:r>
        <w:rPr>
          <w:rFonts w:hint="eastAsia" w:ascii="仿宋" w:hAnsi="仿宋" w:eastAsia="仿宋"/>
          <w:color w:val="000000"/>
          <w:sz w:val="32"/>
          <w:szCs w:val="32"/>
        </w:rPr>
        <w:t>包括但不限于提供服务的中介机构的项目组全体人员、各级复核人员、在报告上签字的人员、合伙人、董事、高级管理人员及主要负责人</w:t>
      </w:r>
      <w:r>
        <w:rPr>
          <w:rFonts w:hint="eastAsia" w:ascii="仿宋" w:hAnsi="仿宋" w:eastAsia="仿宋"/>
          <w:sz w:val="32"/>
          <w:szCs w:val="32"/>
        </w:rPr>
        <w:t>。</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二十二、本人与上市公司及其控股股东、实际控制人或者其各自的附属企业不存在重大业务往来，也不在有重大业务往来的单位及其控股股东、实际控制人任职。</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二十三、本人在最近十二个月内不具有第十七项至第二十二项所列任一种情形。</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二十四、本人不是被中国证监会采取不得担任上市公司董事、监事、高级管理人员证券市场禁入措施，且期限尚未届满的人员。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二十五、本人不是被证券交易场所公开认定不适合担任上市公司董事、监事和高级管理人员，且期限尚未届满的人员。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二十六、本人不是最近三十六个月内因证券期货犯罪，受到司法机关刑事处罚或者中国证监会行政处罚的人员。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二十七、本人不是因涉嫌证券期货违法犯罪，被中国证监会立案调查或者被司法机关立案侦查，尚未有明确结论意见的人员。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二十八、本人最近三十六个月未受到证券交易所公开谴责或三次以上通报批评。</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二十九、本人不存在重大失信等不良记录。</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三十、本人不是过往任职独立董事期间因连续两次未能亲自出席也不委托其他董事出席董事会会议被董事会提请股东大会予以撤换，未满十二个月的人员。</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三十一、包括该公司在内，本人担任独立董事的境内上市公司数量不超过三家。</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三十二、本人在该公司连续担任独立董事未超过六年。</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 xml:space="preserve">□ 是 </w:t>
      </w:r>
      <w:r>
        <w:rPr>
          <w:rFonts w:hint="eastAsia" w:ascii="仿宋" w:hAnsi="仿宋" w:eastAsia="仿宋"/>
          <w:sz w:val="32"/>
          <w:szCs w:val="32"/>
        </w:rPr>
        <w:tab/>
      </w:r>
      <w:r>
        <w:rPr>
          <w:rFonts w:hint="eastAsia" w:ascii="仿宋" w:hAnsi="仿宋" w:eastAsia="仿宋"/>
          <w:sz w:val="32"/>
          <w:szCs w:val="32"/>
        </w:rPr>
        <w:t xml:space="preserve">□ 否    </w:t>
      </w:r>
    </w:p>
    <w:p>
      <w:pPr>
        <w:pStyle w:val="26"/>
        <w:snapToGrid w:val="0"/>
        <w:spacing w:after="0" w:line="560" w:lineRule="exact"/>
        <w:ind w:left="149" w:leftChars="71" w:firstLine="640" w:firstLineChars="200"/>
        <w:rPr>
          <w:rFonts w:ascii="仿宋" w:hAnsi="仿宋" w:eastAsia="仿宋"/>
          <w:sz w:val="32"/>
          <w:szCs w:val="32"/>
        </w:rPr>
      </w:pPr>
      <w:r>
        <w:rPr>
          <w:rFonts w:hint="eastAsia" w:ascii="仿宋" w:hAnsi="仿宋" w:eastAsia="仿宋"/>
          <w:sz w:val="32"/>
          <w:szCs w:val="32"/>
        </w:rPr>
        <w:t>如否，请详细说明：______________________________</w:t>
      </w:r>
    </w:p>
    <w:p>
      <w:pPr>
        <w:snapToGrid w:val="0"/>
        <w:spacing w:line="560" w:lineRule="exact"/>
        <w:ind w:left="420" w:firstLine="560"/>
        <w:rPr>
          <w:rFonts w:ascii="仿宋" w:hAnsi="仿宋" w:eastAsia="仿宋"/>
          <w:sz w:val="32"/>
          <w:szCs w:val="32"/>
        </w:rPr>
      </w:pP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候选人郑重承诺：</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二、本人在担任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三、本人担任该公司独立董事期间，如出现不符合独立董事任职资格情形的，本人将及时向公司董事会报告并立即辞去该公司独立董事职务。</w:t>
      </w:r>
    </w:p>
    <w:p>
      <w:pPr>
        <w:snapToGrid w:val="0"/>
        <w:spacing w:line="560" w:lineRule="exact"/>
        <w:ind w:left="149" w:firstLine="560"/>
        <w:rPr>
          <w:rFonts w:ascii="仿宋" w:hAnsi="仿宋" w:eastAsia="仿宋"/>
          <w:sz w:val="32"/>
          <w:szCs w:val="32"/>
        </w:rPr>
      </w:pPr>
      <w:r>
        <w:rPr>
          <w:rFonts w:hint="eastAsia" w:ascii="仿宋" w:hAnsi="仿宋" w:eastAsia="仿宋"/>
          <w:sz w:val="32"/>
          <w:szCs w:val="32"/>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snapToGrid w:val="0"/>
        <w:spacing w:line="560" w:lineRule="exact"/>
        <w:ind w:left="149" w:firstLine="560"/>
        <w:rPr>
          <w:rFonts w:ascii="仿宋" w:hAnsi="仿宋" w:eastAsia="仿宋"/>
          <w:sz w:val="32"/>
          <w:szCs w:val="32"/>
        </w:rPr>
      </w:pPr>
      <w:r>
        <w:rPr>
          <w:rFonts w:hint="eastAsia" w:ascii="仿宋" w:hAnsi="仿宋" w:eastAsia="仿宋"/>
          <w:kern w:val="0"/>
          <w:sz w:val="32"/>
          <w:szCs w:val="32"/>
        </w:rPr>
        <w:t>五、如任职期间因本人辞职导致独立董事比例不符合相关规定或欠缺会计专业人士的，本人将持续履行职责，不以辞职为由拒绝履职。</w:t>
      </w:r>
    </w:p>
    <w:p>
      <w:pPr>
        <w:snapToGrid w:val="0"/>
        <w:spacing w:line="560" w:lineRule="exact"/>
        <w:ind w:left="420" w:firstLine="560"/>
        <w:rPr>
          <w:rFonts w:ascii="仿宋" w:hAnsi="仿宋" w:eastAsia="仿宋"/>
          <w:sz w:val="32"/>
          <w:szCs w:val="32"/>
        </w:rPr>
      </w:pPr>
    </w:p>
    <w:p>
      <w:pPr>
        <w:snapToGrid w:val="0"/>
        <w:spacing w:line="560" w:lineRule="exact"/>
        <w:ind w:left="420" w:firstLine="560"/>
        <w:rPr>
          <w:rFonts w:ascii="仿宋" w:hAnsi="仿宋" w:eastAsia="仿宋"/>
          <w:sz w:val="32"/>
          <w:szCs w:val="32"/>
        </w:rPr>
      </w:pPr>
    </w:p>
    <w:p>
      <w:pPr>
        <w:snapToGrid w:val="0"/>
        <w:spacing w:line="560" w:lineRule="exact"/>
        <w:ind w:left="420" w:firstLine="560"/>
        <w:jc w:val="right"/>
        <w:rPr>
          <w:rFonts w:ascii="仿宋" w:hAnsi="仿宋" w:eastAsia="仿宋"/>
          <w:sz w:val="32"/>
          <w:szCs w:val="32"/>
        </w:rPr>
      </w:pPr>
      <w:r>
        <w:rPr>
          <w:rFonts w:hint="eastAsia" w:ascii="仿宋" w:hAnsi="仿宋" w:eastAsia="仿宋"/>
          <w:sz w:val="32"/>
          <w:szCs w:val="32"/>
        </w:rPr>
        <w:t xml:space="preserve">候选人（签署）：           </w:t>
      </w:r>
    </w:p>
    <w:p>
      <w:pPr>
        <w:snapToGrid w:val="0"/>
        <w:spacing w:line="560" w:lineRule="exact"/>
        <w:ind w:left="420" w:firstLine="560"/>
        <w:jc w:val="right"/>
        <w:rPr>
          <w:rFonts w:ascii="仿宋" w:hAnsi="仿宋" w:eastAsia="仿宋"/>
          <w:sz w:val="32"/>
          <w:szCs w:val="32"/>
        </w:rPr>
      </w:pPr>
      <w:r>
        <w:rPr>
          <w:rFonts w:hint="eastAsia" w:ascii="仿宋" w:hAnsi="仿宋" w:eastAsia="仿宋"/>
          <w:sz w:val="32"/>
          <w:szCs w:val="32"/>
        </w:rPr>
        <w:t>XXXX年XX月XX日</w:t>
      </w:r>
    </w:p>
    <w:p>
      <w:pPr>
        <w:snapToGrid w:val="0"/>
        <w:spacing w:line="560" w:lineRule="exact"/>
        <w:rPr>
          <w:rFonts w:ascii="仿宋" w:hAnsi="仿宋" w:eastAsia="仿宋"/>
          <w:sz w:val="32"/>
          <w:szCs w:val="32"/>
        </w:rPr>
      </w:pPr>
    </w:p>
    <w:p>
      <w:pPr>
        <w:snapToGrid w:val="0"/>
        <w:spacing w:line="560" w:lineRule="exact"/>
        <w:rPr>
          <w:rFonts w:ascii="仿宋" w:hAnsi="仿宋" w:eastAsia="仿宋"/>
          <w:sz w:val="32"/>
          <w:szCs w:val="32"/>
        </w:rPr>
      </w:pPr>
    </w:p>
    <w:p>
      <w:pPr>
        <w:snapToGrid w:val="0"/>
        <w:spacing w:line="560" w:lineRule="exact"/>
        <w:ind w:left="420" w:firstLine="560"/>
        <w:rPr>
          <w:rFonts w:ascii="仿宋" w:hAnsi="仿宋" w:eastAsia="仿宋"/>
          <w:b/>
          <w:sz w:val="32"/>
          <w:szCs w:val="32"/>
        </w:rPr>
      </w:pPr>
      <w:r>
        <w:rPr>
          <w:rFonts w:hint="eastAsia" w:ascii="仿宋" w:hAnsi="仿宋" w:eastAsia="仿宋"/>
          <w:b/>
          <w:sz w:val="32"/>
          <w:szCs w:val="32"/>
        </w:rPr>
        <w:t>披露公告所需报备文件：</w:t>
      </w:r>
    </w:p>
    <w:p>
      <w:pPr>
        <w:snapToGrid w:val="0"/>
        <w:spacing w:line="560" w:lineRule="exact"/>
        <w:ind w:left="420" w:firstLine="560"/>
        <w:rPr>
          <w:rFonts w:ascii="仿宋" w:hAnsi="仿宋" w:eastAsia="仿宋"/>
          <w:sz w:val="32"/>
          <w:szCs w:val="32"/>
        </w:rPr>
      </w:pPr>
      <w:r>
        <w:rPr>
          <w:rFonts w:hint="eastAsia" w:ascii="仿宋" w:hAnsi="仿宋" w:eastAsia="仿宋"/>
          <w:sz w:val="32"/>
          <w:szCs w:val="32"/>
        </w:rPr>
        <w:t>1．本人填写的履历表；</w:t>
      </w:r>
    </w:p>
    <w:p>
      <w:pPr>
        <w:snapToGrid w:val="0"/>
        <w:spacing w:line="560" w:lineRule="exact"/>
        <w:ind w:left="420" w:firstLine="560"/>
        <w:rPr>
          <w:rFonts w:ascii="仿宋" w:hAnsi="仿宋" w:eastAsia="仿宋"/>
          <w:sz w:val="32"/>
          <w:szCs w:val="32"/>
        </w:rPr>
      </w:pPr>
      <w:r>
        <w:rPr>
          <w:rFonts w:hint="eastAsia" w:ascii="仿宋" w:hAnsi="仿宋" w:eastAsia="仿宋"/>
          <w:sz w:val="32"/>
          <w:szCs w:val="32"/>
        </w:rPr>
        <w:t>2．本人签署的声明；</w:t>
      </w:r>
    </w:p>
    <w:p>
      <w:pPr>
        <w:snapToGrid w:val="0"/>
        <w:spacing w:line="560" w:lineRule="exact"/>
        <w:ind w:left="420" w:firstLine="560"/>
        <w:rPr>
          <w:rFonts w:ascii="方正小标宋简体" w:hAnsi="仿宋" w:eastAsia="方正小标宋简体"/>
          <w:kern w:val="44"/>
          <w:sz w:val="44"/>
          <w:szCs w:val="44"/>
        </w:rPr>
      </w:pPr>
      <w:r>
        <w:rPr>
          <w:rFonts w:hint="eastAsia" w:ascii="仿宋" w:hAnsi="仿宋" w:eastAsia="仿宋"/>
          <w:sz w:val="32"/>
          <w:szCs w:val="32"/>
        </w:rPr>
        <w:t>3．深交所要求的其他文件。</w:t>
      </w:r>
      <w:bookmarkStart w:id="155" w:name="_Toc40795924"/>
      <w:bookmarkStart w:id="156" w:name="_Toc527123127"/>
      <w:bookmarkStart w:id="157" w:name="_Toc15391900"/>
      <w:bookmarkStart w:id="158" w:name="_Toc2189892"/>
      <w:bookmarkStart w:id="159" w:name="_Toc2189125"/>
      <w:bookmarkStart w:id="160" w:name="_Toc510444123"/>
      <w:bookmarkStart w:id="161" w:name="_Toc2179908"/>
      <w:bookmarkStart w:id="162" w:name="_Toc430016277"/>
      <w:bookmarkStart w:id="163" w:name="_Toc2348636"/>
      <w:bookmarkStart w:id="164" w:name="_Toc91607638"/>
      <w:bookmarkStart w:id="165" w:name="_Toc40813196"/>
      <w:bookmarkStart w:id="166" w:name="_Toc91782436"/>
      <w:bookmarkStart w:id="167" w:name="_Toc91781155"/>
      <w:bookmarkStart w:id="168" w:name="_Toc60758266"/>
      <w:r>
        <w:rPr>
          <w:rFonts w:hint="eastAsia" w:ascii="方正小标宋简体" w:hAnsi="仿宋" w:eastAsia="方正小标宋简体"/>
          <w:kern w:val="44"/>
          <w:sz w:val="44"/>
          <w:szCs w:val="44"/>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169" w:name="_Toc138173224"/>
      <w:bookmarkStart w:id="170" w:name="_Toc25191"/>
      <w:r>
        <w:rPr>
          <w:rFonts w:hint="eastAsia" w:ascii="方正小标宋简体" w:hAnsi="仿宋" w:eastAsia="方正小标宋简体"/>
          <w:kern w:val="44"/>
          <w:sz w:val="44"/>
          <w:szCs w:val="44"/>
        </w:rPr>
        <w:t>定期报告类第1号　上市公司业绩预告</w:t>
      </w:r>
      <w:bookmarkEnd w:id="155"/>
      <w:bookmarkEnd w:id="156"/>
      <w:bookmarkEnd w:id="157"/>
      <w:bookmarkEnd w:id="158"/>
      <w:bookmarkEnd w:id="159"/>
      <w:bookmarkEnd w:id="160"/>
      <w:bookmarkEnd w:id="161"/>
      <w:bookmarkEnd w:id="162"/>
      <w:bookmarkEnd w:id="163"/>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164"/>
      <w:bookmarkEnd w:id="165"/>
      <w:bookmarkEnd w:id="166"/>
      <w:bookmarkEnd w:id="167"/>
      <w:bookmarkEnd w:id="168"/>
      <w:bookmarkEnd w:id="169"/>
      <w:bookmarkEnd w:id="170"/>
    </w:p>
    <w:p>
      <w:pPr>
        <w:widowControl/>
        <w:adjustRightInd w:val="0"/>
        <w:snapToGrid w:val="0"/>
        <w:spacing w:line="560" w:lineRule="exact"/>
        <w:ind w:right="360" w:firstLine="540"/>
        <w:rPr>
          <w:rFonts w:ascii="仿宋" w:hAnsi="仿宋" w:eastAsia="仿宋"/>
          <w:kern w:val="0"/>
          <w:sz w:val="32"/>
          <w:szCs w:val="32"/>
        </w:rPr>
      </w:pPr>
    </w:p>
    <w:p>
      <w:pPr>
        <w:tabs>
          <w:tab w:val="left" w:pos="3240"/>
        </w:tabs>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tabs>
          <w:tab w:val="left" w:pos="3240"/>
        </w:tabs>
        <w:spacing w:line="560" w:lineRule="exact"/>
        <w:jc w:val="center"/>
        <w:rPr>
          <w:rFonts w:ascii="仿宋" w:hAnsi="仿宋" w:eastAsia="仿宋"/>
          <w:sz w:val="32"/>
          <w:szCs w:val="32"/>
        </w:rPr>
      </w:pPr>
      <w:r>
        <w:rPr>
          <w:rFonts w:hint="eastAsia" w:ascii="仿宋" w:hAnsi="仿宋" w:eastAsia="仿宋"/>
          <w:sz w:val="32"/>
          <w:szCs w:val="32"/>
        </w:rPr>
        <w:t>XXXXXX股份有限公司XX年度/半年度业绩预告</w:t>
      </w:r>
    </w:p>
    <w:p>
      <w:pPr>
        <w:tabs>
          <w:tab w:val="left" w:pos="3240"/>
        </w:tabs>
        <w:spacing w:line="560" w:lineRule="exact"/>
        <w:ind w:firstLine="525" w:firstLineChars="250"/>
        <w:rPr>
          <w:rFonts w:ascii="仿宋" w:hAnsi="仿宋" w:eastAsia="仿宋"/>
          <w:sz w:val="32"/>
          <w:szCs w:val="32"/>
        </w:rPr>
      </w:pPr>
      <w:r>
        <w:rPr>
          <w:rFonts w:hint="eastAsi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120650</wp:posOffset>
                </wp:positionV>
                <wp:extent cx="5915025" cy="1628775"/>
                <wp:effectExtent l="0" t="0" r="28575" b="28575"/>
                <wp:wrapNone/>
                <wp:docPr id="240" name="矩形 240"/>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5pt;height:128.25pt;width:465.75pt;mso-position-horizontal:center;mso-position-horizontal-relative:margin;z-index:251673600;mso-width-relative:page;mso-height-relative:page;" fillcolor="#FFFFFF" filled="t" stroked="t" coordsize="21600,21600" o:gfxdata="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bHovWAAAABwEAAA8AAAAAAAAAAQAgAAAAIgAAAGRycy9kb3ducmV2&#10;LnhtbFBLAQIUABQAAAAIAIdO4kBrDa+2NwIAAH8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3240"/>
        </w:tabs>
        <w:spacing w:line="560" w:lineRule="exact"/>
        <w:ind w:firstLine="800" w:firstLineChars="250"/>
        <w:rPr>
          <w:rFonts w:ascii="仿宋" w:hAnsi="仿宋" w:eastAsia="仿宋"/>
          <w:sz w:val="32"/>
          <w:szCs w:val="32"/>
        </w:rPr>
      </w:pPr>
    </w:p>
    <w:p>
      <w:pPr>
        <w:tabs>
          <w:tab w:val="left" w:pos="3240"/>
        </w:tabs>
        <w:spacing w:line="560" w:lineRule="exact"/>
        <w:rPr>
          <w:rFonts w:ascii="仿宋" w:hAnsi="仿宋" w:eastAsia="仿宋"/>
          <w:sz w:val="32"/>
          <w:szCs w:val="32"/>
        </w:rPr>
      </w:pPr>
    </w:p>
    <w:p>
      <w:pPr>
        <w:tabs>
          <w:tab w:val="left" w:pos="3240"/>
        </w:tabs>
        <w:spacing w:line="560" w:lineRule="exact"/>
        <w:ind w:firstLine="687" w:firstLineChars="214"/>
        <w:rPr>
          <w:rFonts w:ascii="仿宋" w:hAnsi="仿宋" w:eastAsia="仿宋"/>
          <w:b/>
          <w:sz w:val="32"/>
          <w:szCs w:val="32"/>
        </w:rPr>
      </w:pPr>
    </w:p>
    <w:p>
      <w:pPr>
        <w:tabs>
          <w:tab w:val="left" w:pos="3240"/>
        </w:tabs>
        <w:spacing w:line="560" w:lineRule="exact"/>
        <w:ind w:firstLine="803" w:firstLineChars="250"/>
        <w:rPr>
          <w:rFonts w:ascii="仿宋" w:hAnsi="仿宋" w:eastAsia="仿宋"/>
          <w:b/>
          <w:sz w:val="32"/>
          <w:szCs w:val="32"/>
        </w:rPr>
      </w:pP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一、本期业绩预计情况</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（一）业绩预告期间</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应说明业绩预告涉及的具体会计期间或报告截止日期</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（二）业绩预告情况</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公司披露业绩预告的，应当根据适用的情形，在以下内容中选择相应的披露格式。</w:t>
      </w:r>
    </w:p>
    <w:p>
      <w:pPr>
        <w:tabs>
          <w:tab w:val="left" w:pos="3240"/>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sym w:font="Symbol" w:char="F0F0"/>
      </w:r>
      <w:r>
        <w:rPr>
          <w:rFonts w:hint="eastAsia" w:ascii="仿宋" w:hAnsi="仿宋" w:eastAsia="仿宋"/>
          <w:sz w:val="32"/>
          <w:szCs w:val="32"/>
        </w:rPr>
        <w:t>预计净利润为负值（年度、半年度业绩预告适用）；</w:t>
      </w:r>
    </w:p>
    <w:p>
      <w:pPr>
        <w:tabs>
          <w:tab w:val="left" w:pos="3240"/>
        </w:tabs>
        <w:spacing w:line="560" w:lineRule="exact"/>
        <w:ind w:firstLine="1062" w:firstLineChars="332"/>
        <w:rPr>
          <w:rFonts w:ascii="仿宋" w:hAnsi="仿宋" w:eastAsia="仿宋"/>
          <w:sz w:val="32"/>
          <w:szCs w:val="32"/>
        </w:rPr>
      </w:pPr>
      <w:r>
        <w:rPr>
          <w:rFonts w:ascii="仿宋" w:hAnsi="仿宋" w:eastAsia="仿宋"/>
          <w:sz w:val="32"/>
          <w:szCs w:val="32"/>
        </w:rPr>
        <w:sym w:font="Symbol" w:char="F0F0"/>
      </w:r>
      <w:r>
        <w:rPr>
          <w:rFonts w:hint="eastAsia" w:ascii="仿宋" w:hAnsi="仿宋" w:eastAsia="仿宋"/>
          <w:sz w:val="32"/>
          <w:szCs w:val="32"/>
        </w:rPr>
        <w:t>预计利润总额、净利润或者</w:t>
      </w:r>
      <w:r>
        <w:rPr>
          <w:rFonts w:hint="eastAsia" w:ascii="仿宋" w:hAnsi="仿宋" w:eastAsia="仿宋"/>
          <w:color w:val="000000"/>
          <w:sz w:val="32"/>
          <w:szCs w:val="32"/>
        </w:rPr>
        <w:t>扣除非经常性损益后的净利润三者孰低为负值，且按照本所《股票上市规则》第9.3.2条规定扣除后的营业收入低于三亿元</w:t>
      </w:r>
      <w:r>
        <w:rPr>
          <w:rFonts w:hint="eastAsia" w:ascii="仿宋" w:hAnsi="仿宋" w:eastAsia="仿宋"/>
          <w:sz w:val="32"/>
          <w:szCs w:val="32"/>
        </w:rPr>
        <w:t>（年度业绩预告适用）</w:t>
      </w:r>
      <w:r>
        <w:rPr>
          <w:rFonts w:hint="eastAsia" w:ascii="仿宋" w:hAnsi="仿宋" w:eastAsia="仿宋"/>
          <w:color w:val="000000"/>
          <w:sz w:val="32"/>
          <w:szCs w:val="32"/>
        </w:rPr>
        <w:t>。</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（1）以区间进行业绩预告的</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[(上限金额-下限金额)/下限金额]的绝对值应不超过50%，鼓励不超过30%。</w:t>
      </w:r>
    </w:p>
    <w:p>
      <w:pPr>
        <w:tabs>
          <w:tab w:val="left" w:pos="3240"/>
        </w:tabs>
        <w:spacing w:line="560" w:lineRule="exact"/>
        <w:ind w:firstLine="640" w:firstLineChars="200"/>
        <w:rPr>
          <w:rFonts w:ascii="仿宋" w:hAnsi="仿宋" w:eastAsia="仿宋"/>
          <w:sz w:val="32"/>
          <w:szCs w:val="32"/>
        </w:rPr>
      </w:pP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380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53"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b/>
                <w:sz w:val="24"/>
              </w:rPr>
            </w:pPr>
            <w:r>
              <w:rPr>
                <w:rFonts w:hint="eastAsia" w:ascii="仿宋" w:hAnsi="仿宋" w:eastAsia="仿宋"/>
                <w:b/>
                <w:sz w:val="24"/>
              </w:rPr>
              <w:t>项  目</w:t>
            </w:r>
          </w:p>
        </w:tc>
        <w:tc>
          <w:tcPr>
            <w:tcW w:w="2231"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b/>
                <w:sz w:val="24"/>
              </w:rPr>
            </w:pPr>
            <w:r>
              <w:rPr>
                <w:rFonts w:hint="eastAsia" w:ascii="仿宋" w:hAnsi="仿宋" w:eastAsia="仿宋"/>
                <w:b/>
                <w:sz w:val="24"/>
              </w:rPr>
              <w:t>本报告期</w:t>
            </w:r>
          </w:p>
        </w:tc>
        <w:tc>
          <w:tcPr>
            <w:tcW w:w="1615"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利润总额（如适用）</w:t>
            </w:r>
          </w:p>
        </w:tc>
        <w:tc>
          <w:tcPr>
            <w:tcW w:w="22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比上年同期增长/下降：__% - __%</w:t>
            </w:r>
          </w:p>
        </w:tc>
        <w:tc>
          <w:tcPr>
            <w:tcW w:w="1615" w:type="pct"/>
            <w:vMerge w:val="continue"/>
            <w:tcBorders>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营业收入（如适用）</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扣除后营业收入（如适用）</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spacing w:line="560" w:lineRule="exact"/>
        <w:ind w:firstLine="320" w:firstLineChars="100"/>
        <w:rPr>
          <w:rFonts w:ascii="仿宋" w:hAnsi="仿宋" w:eastAsia="仿宋"/>
          <w:sz w:val="32"/>
          <w:szCs w:val="32"/>
        </w:rPr>
      </w:pPr>
      <w:r>
        <w:rPr>
          <w:rFonts w:hint="eastAsia" w:ascii="仿宋" w:hAnsi="仿宋" w:eastAsia="仿宋"/>
          <w:sz w:val="32"/>
          <w:szCs w:val="32"/>
        </w:rPr>
        <w:t>（2）以确数进行业绩预告的</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84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本报告期</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利润总额（如适用）</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vMerge w:val="restart"/>
            <w:tcBorders>
              <w:top w:val="single" w:color="auto" w:sz="4" w:space="0"/>
              <w:left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1615" w:type="pct"/>
            <w:vMerge w:val="continue"/>
            <w:tcBorders>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营业收入（如适用）</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扣除后营业收入（如适用）</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ind w:firstLine="480" w:firstLineChars="200"/>
        <w:rPr>
          <w:rFonts w:ascii="仿宋" w:hAnsi="仿宋" w:eastAsia="仿宋"/>
          <w:sz w:val="24"/>
          <w:szCs w:val="24"/>
        </w:rPr>
      </w:pPr>
      <w:r>
        <w:rPr>
          <w:rFonts w:hint="eastAsia" w:ascii="仿宋" w:hAnsi="仿宋" w:eastAsia="仿宋"/>
          <w:sz w:val="24"/>
          <w:szCs w:val="24"/>
        </w:rPr>
        <w:t>注：上述（1）（2）表格中，①扣除后营业收入，是指按照本所《股票上市规则》第9.3.2条规定扣除后的营业收入；②当年完成重大资产重组的公司，应同时列示重组前、后的上年同期数据；③如报告期相关指标为亏损或扭亏为盈，可不计算同比增长或下降的比例。</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sym w:font="Symbol" w:char="F0F0"/>
      </w:r>
      <w:r>
        <w:rPr>
          <w:rFonts w:hint="eastAsia" w:ascii="仿宋" w:hAnsi="仿宋" w:eastAsia="仿宋"/>
          <w:sz w:val="32"/>
          <w:szCs w:val="32"/>
        </w:rPr>
        <w:t xml:space="preserve">预计净利润为正值且属于下列情形之一（年度、半年度业绩预告适用）： </w:t>
      </w:r>
    </w:p>
    <w:p>
      <w:pPr>
        <w:tabs>
          <w:tab w:val="left" w:pos="3240"/>
        </w:tabs>
        <w:spacing w:line="560" w:lineRule="exact"/>
        <w:ind w:firstLine="640" w:firstLineChars="200"/>
        <w:rPr>
          <w:rFonts w:ascii="仿宋" w:hAnsi="仿宋" w:eastAsia="仿宋"/>
          <w:sz w:val="32"/>
          <w:szCs w:val="32"/>
        </w:rPr>
      </w:pPr>
      <w:r>
        <w:rPr>
          <w:rFonts w:ascii="仿宋" w:hAnsi="仿宋" w:eastAsia="仿宋"/>
          <w:sz w:val="32"/>
          <w:szCs w:val="32"/>
        </w:rPr>
        <w:sym w:font="Symbol" w:char="F0F0"/>
      </w:r>
      <w:r>
        <w:rPr>
          <w:rFonts w:hint="eastAsia" w:ascii="仿宋" w:hAnsi="仿宋" w:eastAsia="仿宋"/>
          <w:sz w:val="32"/>
          <w:szCs w:val="32"/>
        </w:rPr>
        <w:t xml:space="preserve">扭亏为盈  </w:t>
      </w:r>
      <w:r>
        <w:rPr>
          <w:rFonts w:ascii="仿宋" w:hAnsi="仿宋" w:eastAsia="仿宋"/>
          <w:sz w:val="32"/>
          <w:szCs w:val="32"/>
        </w:rPr>
        <w:sym w:font="Symbol" w:char="F0F0"/>
      </w:r>
      <w:r>
        <w:rPr>
          <w:rFonts w:hint="eastAsia" w:ascii="仿宋" w:hAnsi="仿宋" w:eastAsia="仿宋"/>
          <w:sz w:val="32"/>
          <w:szCs w:val="32"/>
        </w:rPr>
        <w:t xml:space="preserve">同向上升  </w:t>
      </w:r>
      <w:r>
        <w:rPr>
          <w:rFonts w:ascii="仿宋" w:hAnsi="仿宋" w:eastAsia="仿宋"/>
          <w:sz w:val="32"/>
          <w:szCs w:val="32"/>
        </w:rPr>
        <w:sym w:font="Symbol" w:char="F0F0"/>
      </w:r>
      <w:r>
        <w:rPr>
          <w:rFonts w:hint="eastAsia" w:ascii="仿宋" w:hAnsi="仿宋" w:eastAsia="仿宋"/>
          <w:sz w:val="32"/>
          <w:szCs w:val="32"/>
        </w:rPr>
        <w:t>同向下降</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（1）以区间进行业绩预告的</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[(上限金额-下限金额)/下限金额]的绝对值应不超过50%，鼓励不超过30%。</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380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本报告期</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4"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4"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5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盈利：__元/股–__元/股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r>
    </w:tbl>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（2）以确数进行业绩预告的</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84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本报告期</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 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 xml:space="preserve">比上年同期增长/下降：__%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 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 xml:space="preserve">比上年同期增长/下降：__%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rPr>
            </w:pPr>
            <w:r>
              <w:rPr>
                <w:rFonts w:hint="eastAsia" w:ascii="仿宋" w:hAnsi="仿宋" w:eastAsia="仿宋"/>
                <w:sz w:val="24"/>
              </w:rPr>
              <w:t>盈利/亏损：__元/股</w:t>
            </w:r>
          </w:p>
        </w:tc>
      </w:tr>
    </w:tbl>
    <w:p>
      <w:pPr>
        <w:tabs>
          <w:tab w:val="left" w:pos="3240"/>
        </w:tabs>
        <w:ind w:firstLine="480" w:firstLineChars="200"/>
        <w:rPr>
          <w:rFonts w:ascii="仿宋" w:hAnsi="仿宋" w:eastAsia="仿宋"/>
          <w:szCs w:val="21"/>
        </w:rPr>
      </w:pPr>
      <w:r>
        <w:rPr>
          <w:rFonts w:hint="eastAsia" w:ascii="仿宋" w:hAnsi="仿宋" w:eastAsia="仿宋"/>
          <w:sz w:val="24"/>
          <w:szCs w:val="21"/>
        </w:rPr>
        <w:t>注：①当年完成重大资产重组的公司，应同时列示重组前、后的上年同期数据；②如报告期业绩为扭亏为盈，可不计算同比增长或下降的比例。</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sym w:font="Symbol" w:char="F0F0"/>
      </w:r>
      <w:r>
        <w:rPr>
          <w:rFonts w:hint="eastAsia" w:ascii="仿宋" w:hAnsi="仿宋" w:eastAsia="仿宋"/>
          <w:sz w:val="32"/>
          <w:szCs w:val="32"/>
        </w:rPr>
        <w:t>预计期末净资产为负值（年度业绩预告适用）：</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（1）以区间进行业绩预告的</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2792"/>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79"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1638"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本会计年度末</w:t>
            </w:r>
          </w:p>
        </w:tc>
        <w:tc>
          <w:tcPr>
            <w:tcW w:w="1583"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7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归属于母公司所有者权益</w:t>
            </w:r>
          </w:p>
        </w:tc>
        <w:tc>
          <w:tcPr>
            <w:tcW w:w="1638"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583"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spacing w:line="560" w:lineRule="exact"/>
        <w:ind w:firstLine="800" w:firstLineChars="250"/>
        <w:rPr>
          <w:rFonts w:ascii="仿宋" w:hAnsi="仿宋" w:eastAsia="仿宋"/>
          <w:sz w:val="32"/>
          <w:szCs w:val="32"/>
        </w:rPr>
      </w:pPr>
      <w:r>
        <w:rPr>
          <w:rFonts w:hint="eastAsia" w:ascii="仿宋" w:hAnsi="仿宋" w:eastAsia="仿宋"/>
          <w:sz w:val="32"/>
          <w:szCs w:val="32"/>
        </w:rPr>
        <w:t>（2）以确数进行业绩预告的</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285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1677"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本会计年度末</w:t>
            </w:r>
          </w:p>
        </w:tc>
        <w:tc>
          <w:tcPr>
            <w:tcW w:w="162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归属于母公司所有者权益</w:t>
            </w:r>
          </w:p>
        </w:tc>
        <w:tc>
          <w:tcPr>
            <w:tcW w:w="1677"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2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ind w:firstLine="480" w:firstLineChars="200"/>
        <w:rPr>
          <w:rFonts w:ascii="仿宋" w:hAnsi="仿宋" w:eastAsia="仿宋"/>
          <w:szCs w:val="21"/>
        </w:rPr>
      </w:pPr>
      <w:r>
        <w:rPr>
          <w:rFonts w:hint="eastAsia" w:ascii="仿宋" w:hAnsi="仿宋" w:eastAsia="仿宋"/>
          <w:sz w:val="24"/>
          <w:szCs w:val="21"/>
        </w:rPr>
        <w:t>注：上述（</w:t>
      </w:r>
      <w:r>
        <w:rPr>
          <w:rFonts w:ascii="仿宋" w:hAnsi="仿宋" w:eastAsia="仿宋"/>
          <w:sz w:val="24"/>
          <w:szCs w:val="21"/>
        </w:rPr>
        <w:t>1）（2）表格中，①以区间方式预计年度末净资产的，相关区间不得同时包含正值和负值；②当年完成重大资产重组的公司，应同时列示重组前、后的上年同期数据。</w:t>
      </w:r>
    </w:p>
    <w:p>
      <w:pPr>
        <w:tabs>
          <w:tab w:val="left" w:pos="3240"/>
        </w:tabs>
        <w:spacing w:line="560" w:lineRule="exact"/>
        <w:ind w:firstLine="800" w:firstLineChars="25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sym w:font="Symbol" w:char="F0F0"/>
      </w:r>
      <w:r>
        <w:rPr>
          <w:rFonts w:hint="eastAsia" w:ascii="仿宋" w:hAnsi="仿宋" w:eastAsia="仿宋"/>
          <w:sz w:val="32"/>
          <w:szCs w:val="32"/>
        </w:rPr>
        <w:t>股票交易已被实施退市风险警示的公司（年度业绩预告适用）：</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（1）以区间进行业绩预告的</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[(上限金额-下限金额)/下限金额]的绝对值应不超过50%，鼓励不超过30%。</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380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本会计年度</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利润总额</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1615" w:type="pct"/>
            <w:vMerge w:val="continue"/>
            <w:tcBorders>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盈利/亏损：__万元–__万元</w:t>
            </w:r>
          </w:p>
        </w:tc>
        <w:tc>
          <w:tcPr>
            <w:tcW w:w="1615"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营业收入</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扣除后营业收入</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rPr>
            </w:pPr>
            <w:r>
              <w:rPr>
                <w:rFonts w:hint="eastAsia" w:ascii="仿宋" w:hAnsi="仿宋" w:eastAsia="仿宋"/>
                <w:sz w:val="24"/>
              </w:rPr>
              <w:t>项  目</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rPr>
            </w:pPr>
            <w:r>
              <w:rPr>
                <w:rFonts w:hint="eastAsia" w:ascii="仿宋" w:hAnsi="仿宋" w:eastAsia="仿宋"/>
                <w:sz w:val="24"/>
              </w:rPr>
              <w:t>本会计年度末</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rPr>
            </w:pPr>
            <w:r>
              <w:rPr>
                <w:rFonts w:hint="eastAsia" w:ascii="仿宋" w:hAnsi="仿宋" w:eastAsia="仿宋"/>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53"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归属于上市公司股东的所有者权益</w:t>
            </w:r>
          </w:p>
        </w:tc>
        <w:tc>
          <w:tcPr>
            <w:tcW w:w="2231"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（2）以确数进行业绩预告的</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384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项  目</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本会计年度</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rPr>
            </w:pPr>
            <w:r>
              <w:rPr>
                <w:rFonts w:hint="eastAsia" w:ascii="仿宋" w:hAnsi="仿宋" w:eastAsia="仿宋"/>
                <w:b/>
                <w:sz w:val="24"/>
              </w:rPr>
              <w:t>上年同期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1"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利润总额</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vMerge w:val="restart"/>
            <w:tcBorders>
              <w:top w:val="single" w:color="auto" w:sz="4" w:space="0"/>
              <w:left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1"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1615" w:type="pct"/>
            <w:vMerge w:val="continue"/>
            <w:tcBorders>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3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扣除非经常性损益后的净利润</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 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 xml:space="preserve">比上年同期增长/下降：__% </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ind w:firstLine="480" w:firstLineChars="2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基本每股收益</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盈利/亏损：__元/股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营业收入</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扣除后营业收入</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rPr>
            </w:pPr>
            <w:r>
              <w:rPr>
                <w:rFonts w:hint="eastAsia" w:ascii="仿宋" w:hAnsi="仿宋" w:eastAsia="仿宋"/>
                <w:sz w:val="24"/>
              </w:rPr>
              <w:t>项  目</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rPr>
            </w:pPr>
            <w:r>
              <w:rPr>
                <w:rFonts w:hint="eastAsia" w:ascii="仿宋" w:hAnsi="仿宋" w:eastAsia="仿宋"/>
                <w:sz w:val="24"/>
              </w:rPr>
              <w:t>本会计年度末</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sz w:val="24"/>
              </w:rPr>
            </w:pPr>
            <w:r>
              <w:rPr>
                <w:rFonts w:hint="eastAsia" w:ascii="仿宋" w:hAnsi="仿宋" w:eastAsia="仿宋"/>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3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rPr>
            </w:pPr>
            <w:r>
              <w:rPr>
                <w:rFonts w:hint="eastAsia" w:ascii="仿宋" w:hAnsi="仿宋" w:eastAsia="仿宋"/>
                <w:sz w:val="24"/>
              </w:rPr>
              <w:t>归属于上市公司股东的所有者权益</w:t>
            </w:r>
          </w:p>
        </w:tc>
        <w:tc>
          <w:tcPr>
            <w:tcW w:w="2254"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c>
          <w:tcPr>
            <w:tcW w:w="1615" w:type="pct"/>
            <w:tcBorders>
              <w:top w:val="single" w:color="auto" w:sz="4" w:space="0"/>
              <w:left w:val="single" w:color="auto" w:sz="4" w:space="0"/>
              <w:bottom w:val="single" w:color="auto" w:sz="4" w:space="0"/>
              <w:right w:val="single" w:color="auto" w:sz="4" w:space="0"/>
            </w:tcBorders>
            <w:vAlign w:val="center"/>
          </w:tcPr>
          <w:p>
            <w:pPr>
              <w:tabs>
                <w:tab w:val="left" w:pos="3240"/>
              </w:tabs>
              <w:rPr>
                <w:rFonts w:ascii="仿宋" w:hAnsi="仿宋" w:eastAsia="仿宋"/>
                <w:sz w:val="24"/>
              </w:rPr>
            </w:pPr>
            <w:r>
              <w:rPr>
                <w:rFonts w:hint="eastAsia" w:ascii="仿宋" w:hAnsi="仿宋" w:eastAsia="仿宋"/>
                <w:sz w:val="24"/>
              </w:rPr>
              <w:t>__万元</w:t>
            </w:r>
          </w:p>
        </w:tc>
      </w:tr>
    </w:tbl>
    <w:p>
      <w:pPr>
        <w:tabs>
          <w:tab w:val="left" w:pos="3240"/>
        </w:tabs>
        <w:ind w:firstLine="480" w:firstLineChars="200"/>
        <w:rPr>
          <w:rFonts w:ascii="仿宋" w:hAnsi="仿宋" w:eastAsia="仿宋"/>
          <w:sz w:val="24"/>
          <w:szCs w:val="24"/>
        </w:rPr>
      </w:pPr>
      <w:r>
        <w:rPr>
          <w:rFonts w:hint="eastAsia" w:ascii="仿宋" w:hAnsi="仿宋" w:eastAsia="仿宋"/>
          <w:sz w:val="24"/>
          <w:szCs w:val="24"/>
        </w:rPr>
        <w:t>注：股票交易已被实施退市风险警示的公司，非年度业绩预告期间触及第1、2种业绩预告情形的，应当适用相应格式进行业绩预告。</w:t>
      </w:r>
    </w:p>
    <w:p>
      <w:pPr>
        <w:tabs>
          <w:tab w:val="left" w:pos="3240"/>
        </w:tabs>
        <w:ind w:firstLine="480" w:firstLineChars="200"/>
        <w:rPr>
          <w:rFonts w:ascii="仿宋" w:hAnsi="仿宋" w:eastAsia="仿宋"/>
          <w:b/>
          <w:sz w:val="24"/>
          <w:szCs w:val="24"/>
        </w:rPr>
      </w:pPr>
      <w:r>
        <w:rPr>
          <w:rFonts w:hint="eastAsia" w:ascii="仿宋" w:hAnsi="仿宋" w:eastAsia="仿宋"/>
          <w:sz w:val="24"/>
          <w:szCs w:val="24"/>
        </w:rPr>
        <w:t>上述（1）（2）表格中，①以区间方式预计年度末净资产的，相关区间不得同时包含正值和负值；②扣除后营业收入，是指按照本所《股票上市规则》第9.3.2条规定扣除后的营业收入；③当年完成重大资产重组的公司，应同时列示重组前、后的上年同期数据；④如报告期相关指标为亏损或扭亏为盈，可不计算同比增长或下降的比例。</w:t>
      </w: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二、与会计师事务所沟通情况</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公司应当说明就业绩预告有关事项与会计师事务所进行预沟通的情况，说明公司与会计师事务所在业绩预告方面是否存在分歧及分歧所在。</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业绩预告经过注册会计师预审计的，应说明预审计的会计师事务所名称及其对公司作出业绩预告的依据及过程是否适当和审慎的意见。</w:t>
      </w: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三、业绩变动原因说明</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应当列明经营业绩或财务状况出现重大变动的主要原因，例如计提减值准备、停产、补交税费等。</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业绩变动主要源于非经常性损益的，需说明影响金额范围，并明确指出相关项目属于非经常性损益。</w:t>
      </w: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四、风险提示</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1．如存在可能影响本次业绩预告内容准确性的不确定因素，应当说明是否就不确定因素与年审会计师进行沟通及沟通情况，并对可能造成的影响进行合理、量化分析。</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2．公司在披露年报后股票可能终止上市或者股票交易可能被实施退市风险警示、其他风险警示的，应当提示风险。</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3．其他风险提示。</w:t>
      </w: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五、其他相关说明</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1．本次业绩预告的有关决策程序（如适用）。</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2．其他需说明的事项。</w:t>
      </w:r>
    </w:p>
    <w:p>
      <w:pPr>
        <w:tabs>
          <w:tab w:val="left" w:pos="3240"/>
        </w:tabs>
        <w:spacing w:line="560" w:lineRule="exact"/>
        <w:ind w:firstLine="643" w:firstLineChars="200"/>
        <w:rPr>
          <w:rFonts w:ascii="仿宋" w:hAnsi="仿宋" w:eastAsia="仿宋"/>
          <w:b/>
          <w:sz w:val="32"/>
          <w:szCs w:val="32"/>
        </w:rPr>
      </w:pPr>
      <w:r>
        <w:rPr>
          <w:rFonts w:hint="eastAsia" w:ascii="仿宋" w:hAnsi="仿宋" w:eastAsia="仿宋"/>
          <w:b/>
          <w:sz w:val="32"/>
          <w:szCs w:val="32"/>
        </w:rPr>
        <w:t>六、</w:t>
      </w:r>
      <w:r>
        <w:rPr>
          <w:rFonts w:hint="eastAsia" w:ascii="仿宋" w:hAnsi="仿宋" w:eastAsia="仿宋"/>
          <w:b/>
          <w:kern w:val="0"/>
          <w:sz w:val="32"/>
          <w:szCs w:val="32"/>
        </w:rPr>
        <w:t>备查文件</w:t>
      </w:r>
    </w:p>
    <w:p>
      <w:pPr>
        <w:spacing w:line="560" w:lineRule="exact"/>
        <w:ind w:leftChars="-1" w:hanging="2"/>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leftChars="-1" w:hanging="2"/>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171" w:name="_Toc91782437"/>
      <w:bookmarkStart w:id="172" w:name="_Toc91781156"/>
      <w:bookmarkStart w:id="173" w:name="_Toc91607639"/>
      <w:bookmarkStart w:id="174" w:name="_Toc18921"/>
      <w:bookmarkStart w:id="175" w:name="_Toc138173225"/>
      <w:r>
        <w:rPr>
          <w:rFonts w:hint="eastAsia" w:ascii="方正小标宋简体" w:hAnsi="仿宋" w:eastAsia="方正小标宋简体"/>
          <w:kern w:val="44"/>
          <w:sz w:val="44"/>
          <w:szCs w:val="44"/>
        </w:rPr>
        <w:t>定期报告类第2号　上市公司业绩预告修正</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171"/>
      <w:bookmarkEnd w:id="172"/>
      <w:bookmarkEnd w:id="173"/>
      <w:bookmarkEnd w:id="174"/>
      <w:bookmarkEnd w:id="175"/>
    </w:p>
    <w:p>
      <w:pPr>
        <w:spacing w:line="560" w:lineRule="exact"/>
        <w:ind w:leftChars="-1" w:hanging="2"/>
        <w:jc w:val="center"/>
        <w:rPr>
          <w:rFonts w:ascii="仿宋" w:hAnsi="仿宋" w:eastAsia="仿宋"/>
          <w:sz w:val="32"/>
          <w:szCs w:val="32"/>
        </w:rPr>
      </w:pP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证券代码：        证券简称：        公告编号：</w:t>
      </w:r>
    </w:p>
    <w:p>
      <w:pPr>
        <w:tabs>
          <w:tab w:val="left" w:pos="3240"/>
        </w:tabs>
        <w:spacing w:line="560" w:lineRule="exact"/>
        <w:jc w:val="center"/>
        <w:rPr>
          <w:rFonts w:ascii="仿宋" w:hAnsi="仿宋" w:eastAsia="仿宋"/>
          <w:sz w:val="32"/>
          <w:szCs w:val="32"/>
        </w:rPr>
      </w:pPr>
      <w:r>
        <w:rPr>
          <w:rFonts w:hint="eastAsia" w:ascii="仿宋" w:hAnsi="仿宋" w:eastAsia="仿宋"/>
          <w:sz w:val="32"/>
          <w:szCs w:val="32"/>
        </w:rPr>
        <w:t>XXXXXX股份有限公司XX年度/半年度业绩预告修正公告</w:t>
      </w:r>
    </w:p>
    <w:p>
      <w:pPr>
        <w:tabs>
          <w:tab w:val="left" w:pos="3240"/>
        </w:tabs>
        <w:spacing w:line="560" w:lineRule="exact"/>
        <w:ind w:firstLine="525" w:firstLineChars="250"/>
        <w:rPr>
          <w:rFonts w:ascii="仿宋" w:hAnsi="仿宋" w:eastAsia="仿宋"/>
          <w:sz w:val="32"/>
          <w:szCs w:val="32"/>
        </w:rPr>
      </w:pPr>
      <w:r>
        <w:rPr>
          <w:rFonts w:hint="eastAsi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149225</wp:posOffset>
                </wp:positionV>
                <wp:extent cx="5915025" cy="1628775"/>
                <wp:effectExtent l="0" t="0" r="28575" b="28575"/>
                <wp:wrapNone/>
                <wp:docPr id="239" name="矩形 239"/>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75pt;height:128.25pt;width:465.75pt;mso-position-horizontal:center;mso-position-horizontal-relative:margin;z-index:251674624;mso-width-relative:page;mso-height-relative:page;" fillcolor="#FFFFFF" filled="t" stroked="t" coordsize="21600,21600" o:gfxdata="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zKY1QAAAAcBAAAPAAAAAAAAAAEAIAAAACIAAABkcnMvZG93bnJl&#10;di54bWxQSwECFAAUAAAACACHTuJABw89LTkCAAB/BAAADgAAAAAAAAABACAAAAAk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3240"/>
        </w:tabs>
        <w:spacing w:line="560" w:lineRule="exact"/>
        <w:ind w:firstLine="800" w:firstLineChars="250"/>
        <w:rPr>
          <w:rFonts w:ascii="仿宋" w:hAnsi="仿宋" w:eastAsia="仿宋"/>
          <w:sz w:val="32"/>
          <w:szCs w:val="32"/>
        </w:rPr>
      </w:pPr>
    </w:p>
    <w:p>
      <w:pPr>
        <w:tabs>
          <w:tab w:val="left" w:pos="3240"/>
        </w:tabs>
        <w:spacing w:line="560" w:lineRule="exact"/>
        <w:ind w:firstLine="800" w:firstLineChars="250"/>
        <w:rPr>
          <w:rFonts w:ascii="仿宋" w:hAnsi="仿宋" w:eastAsia="仿宋"/>
          <w:sz w:val="32"/>
          <w:szCs w:val="32"/>
        </w:rPr>
      </w:pPr>
    </w:p>
    <w:p>
      <w:pPr>
        <w:tabs>
          <w:tab w:val="left" w:pos="3240"/>
        </w:tabs>
        <w:spacing w:line="560" w:lineRule="exact"/>
        <w:rPr>
          <w:rFonts w:ascii="仿宋" w:hAnsi="仿宋" w:eastAsia="仿宋"/>
          <w:sz w:val="32"/>
          <w:szCs w:val="32"/>
        </w:rPr>
      </w:pPr>
    </w:p>
    <w:p>
      <w:pPr>
        <w:tabs>
          <w:tab w:val="left" w:pos="3240"/>
        </w:tabs>
        <w:spacing w:line="560" w:lineRule="exact"/>
        <w:ind w:firstLine="687" w:firstLineChars="214"/>
        <w:rPr>
          <w:rFonts w:ascii="仿宋" w:hAnsi="仿宋" w:eastAsia="仿宋"/>
          <w:b/>
          <w:sz w:val="32"/>
          <w:szCs w:val="32"/>
        </w:rPr>
      </w:pPr>
    </w:p>
    <w:p>
      <w:pPr>
        <w:tabs>
          <w:tab w:val="left" w:pos="784"/>
        </w:tabs>
        <w:spacing w:line="560" w:lineRule="exact"/>
        <w:ind w:firstLine="643" w:firstLineChars="200"/>
        <w:rPr>
          <w:rFonts w:ascii="仿宋" w:hAnsi="仿宋" w:eastAsia="仿宋"/>
          <w:b/>
          <w:sz w:val="32"/>
          <w:szCs w:val="32"/>
        </w:rPr>
      </w:pPr>
      <w:r>
        <w:rPr>
          <w:rFonts w:hint="eastAsia" w:ascii="仿宋" w:hAnsi="仿宋" w:eastAsia="仿宋"/>
          <w:b/>
          <w:sz w:val="32"/>
          <w:szCs w:val="32"/>
        </w:rPr>
        <w:t>一、预计的本期业绩情况</w:t>
      </w:r>
    </w:p>
    <w:p>
      <w:pPr>
        <w:tabs>
          <w:tab w:val="left" w:pos="784"/>
        </w:tabs>
        <w:spacing w:line="560" w:lineRule="exact"/>
        <w:ind w:firstLine="640" w:firstLineChars="200"/>
        <w:rPr>
          <w:rFonts w:ascii="仿宋" w:hAnsi="仿宋" w:eastAsia="仿宋"/>
          <w:sz w:val="32"/>
          <w:szCs w:val="32"/>
        </w:rPr>
      </w:pPr>
      <w:r>
        <w:rPr>
          <w:rFonts w:hint="eastAsia" w:ascii="仿宋" w:hAnsi="仿宋" w:eastAsia="仿宋"/>
          <w:sz w:val="32"/>
          <w:szCs w:val="32"/>
        </w:rPr>
        <w:t>（一）业绩预告期间：应说明业绩预告修正涉及的具体会计期间或报告截止日期。</w:t>
      </w:r>
    </w:p>
    <w:p>
      <w:pPr>
        <w:tabs>
          <w:tab w:val="left" w:pos="784"/>
        </w:tabs>
        <w:spacing w:line="560" w:lineRule="exact"/>
        <w:ind w:firstLine="640" w:firstLineChars="200"/>
        <w:rPr>
          <w:rFonts w:ascii="仿宋" w:hAnsi="仿宋" w:eastAsia="仿宋"/>
          <w:sz w:val="32"/>
          <w:szCs w:val="32"/>
        </w:rPr>
      </w:pPr>
      <w:r>
        <w:rPr>
          <w:rFonts w:hint="eastAsia" w:ascii="仿宋" w:hAnsi="仿宋" w:eastAsia="仿宋"/>
          <w:sz w:val="32"/>
          <w:szCs w:val="32"/>
        </w:rPr>
        <w:t>（二）前次业绩预告情况：应说明前次业绩预告的披露时间、披露方式（在定期报告中披露或以临时公告的方式披露）及预计的业绩。</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（三）修正后的业绩预告</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1．以区间进行业绩预告的</w:t>
      </w:r>
    </w:p>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[(上限金额-下限金额)/下限金额]的绝对值应不超过50%，鼓励不超过30%。</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555"/>
        <w:gridCol w:w="2580"/>
        <w:gridCol w:w="95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项  目</w:t>
            </w:r>
          </w:p>
        </w:tc>
        <w:tc>
          <w:tcPr>
            <w:tcW w:w="3013"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本报告期</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上年</w:t>
            </w:r>
          </w:p>
          <w:p>
            <w:pPr>
              <w:tabs>
                <w:tab w:val="left" w:pos="3240"/>
              </w:tabs>
              <w:jc w:val="center"/>
              <w:rPr>
                <w:rFonts w:ascii="仿宋" w:hAnsi="仿宋" w:eastAsia="仿宋"/>
                <w:b/>
                <w:sz w:val="24"/>
                <w:szCs w:val="24"/>
              </w:rPr>
            </w:pPr>
            <w:r>
              <w:rPr>
                <w:rFonts w:hint="eastAsia" w:ascii="仿宋" w:hAnsi="仿宋" w:eastAsia="仿宋"/>
                <w:b/>
                <w:sz w:val="24"/>
                <w:szCs w:val="24"/>
              </w:rPr>
              <w:t>同期</w:t>
            </w:r>
          </w:p>
        </w:tc>
        <w:tc>
          <w:tcPr>
            <w:tcW w:w="559"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499"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原预计</w:t>
            </w:r>
          </w:p>
        </w:tc>
        <w:tc>
          <w:tcPr>
            <w:tcW w:w="151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最新预计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rPr>
              <w:t>利润总额</w:t>
            </w:r>
            <w:r>
              <w:rPr>
                <w:rFonts w:hint="eastAsia" w:ascii="仿宋" w:hAnsi="仿宋" w:eastAsia="仿宋"/>
                <w:sz w:val="24"/>
                <w:szCs w:val="24"/>
              </w:rPr>
              <w:t>（如适用）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560"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59" w:type="pct"/>
            <w:vMerge w:val="restart"/>
            <w:tcBorders>
              <w:top w:val="single" w:color="auto" w:sz="4" w:space="0"/>
              <w:left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szCs w:val="24"/>
              </w:rPr>
            </w:pP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560"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szCs w:val="24"/>
              </w:rPr>
            </w:pPr>
          </w:p>
        </w:tc>
        <w:tc>
          <w:tcPr>
            <w:tcW w:w="559" w:type="pct"/>
            <w:vMerge w:val="continue"/>
            <w:tcBorders>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8"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归属于上市公司股东的净利润（如适用）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59" w:type="pct"/>
            <w:vMerge w:val="restar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扣除非经常性损益后的净利润（如适用）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盈利/亏损：__万元–__万元</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59" w:type="pct"/>
            <w:vMerge w:val="restar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 - 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基本每股收益（如适用）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盈利/亏损：__元/股–__元/股</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盈利/亏损：__元/股–__元/股</w:t>
            </w:r>
          </w:p>
        </w:tc>
        <w:tc>
          <w:tcPr>
            <w:tcW w:w="560"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w:t>
            </w:r>
          </w:p>
        </w:tc>
        <w:tc>
          <w:tcPr>
            <w:tcW w:w="55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营业收入（如适用）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560"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5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扣除后营业收入（如适用）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560"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5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8"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项  目</w:t>
            </w:r>
          </w:p>
        </w:tc>
        <w:tc>
          <w:tcPr>
            <w:tcW w:w="3013"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本报告期末</w:t>
            </w:r>
          </w:p>
        </w:tc>
        <w:tc>
          <w:tcPr>
            <w:tcW w:w="560"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上年末</w:t>
            </w:r>
          </w:p>
        </w:tc>
        <w:tc>
          <w:tcPr>
            <w:tcW w:w="559" w:type="pct"/>
            <w:vMerge w:val="restart"/>
            <w:tcBorders>
              <w:top w:val="single" w:color="auto" w:sz="4" w:space="0"/>
              <w:left w:val="single" w:color="auto" w:sz="4" w:space="0"/>
              <w:bottom w:val="single" w:color="auto" w:sz="4" w:space="0"/>
              <w:right w:val="single" w:color="auto" w:sz="4" w:space="0"/>
            </w:tcBorders>
          </w:tcPr>
          <w:p>
            <w:pPr>
              <w:tabs>
                <w:tab w:val="left" w:pos="3240"/>
              </w:tabs>
              <w:jc w:val="center"/>
              <w:rPr>
                <w:rFonts w:ascii="仿宋" w:hAnsi="仿宋" w:eastAsia="仿宋"/>
                <w:b/>
                <w:sz w:val="24"/>
                <w:szCs w:val="24"/>
              </w:rPr>
            </w:pPr>
            <w:r>
              <w:rPr>
                <w:rFonts w:hint="eastAsia" w:ascii="仿宋" w:hAnsi="仿宋" w:eastAsia="仿宋"/>
                <w:b/>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499"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原预计</w:t>
            </w:r>
          </w:p>
        </w:tc>
        <w:tc>
          <w:tcPr>
            <w:tcW w:w="1514"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最新预计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归属于母公司所有者权益（如适用）</w:t>
            </w:r>
          </w:p>
        </w:tc>
        <w:tc>
          <w:tcPr>
            <w:tcW w:w="1499"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1514"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__万元–__万元</w:t>
            </w:r>
          </w:p>
        </w:tc>
        <w:tc>
          <w:tcPr>
            <w:tcW w:w="560"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5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bl>
    <w:p>
      <w:pPr>
        <w:tabs>
          <w:tab w:val="left" w:pos="3240"/>
        </w:tabs>
        <w:spacing w:line="560" w:lineRule="exact"/>
        <w:ind w:firstLine="640" w:firstLineChars="200"/>
        <w:rPr>
          <w:rFonts w:ascii="仿宋" w:hAnsi="仿宋" w:eastAsia="仿宋"/>
          <w:sz w:val="32"/>
          <w:szCs w:val="32"/>
        </w:rPr>
      </w:pPr>
      <w:r>
        <w:rPr>
          <w:rFonts w:hint="eastAsia" w:ascii="仿宋" w:hAnsi="仿宋" w:eastAsia="仿宋"/>
          <w:sz w:val="32"/>
          <w:szCs w:val="32"/>
        </w:rPr>
        <w:t>2．以确数进行业绩预告的</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412"/>
        <w:gridCol w:w="205"/>
        <w:gridCol w:w="2553"/>
        <w:gridCol w:w="99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项  目</w:t>
            </w:r>
          </w:p>
        </w:tc>
        <w:tc>
          <w:tcPr>
            <w:tcW w:w="3033" w:type="pct"/>
            <w:gridSpan w:val="3"/>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本报告期</w:t>
            </w:r>
          </w:p>
        </w:tc>
        <w:tc>
          <w:tcPr>
            <w:tcW w:w="581"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上年</w:t>
            </w:r>
          </w:p>
          <w:p>
            <w:pPr>
              <w:tabs>
                <w:tab w:val="left" w:pos="3240"/>
              </w:tabs>
              <w:jc w:val="center"/>
              <w:rPr>
                <w:rFonts w:ascii="仿宋" w:hAnsi="仿宋" w:eastAsia="仿宋"/>
                <w:b/>
                <w:sz w:val="24"/>
                <w:szCs w:val="24"/>
              </w:rPr>
            </w:pPr>
            <w:r>
              <w:rPr>
                <w:rFonts w:hint="eastAsia" w:ascii="仿宋" w:hAnsi="仿宋" w:eastAsia="仿宋"/>
                <w:b/>
                <w:sz w:val="24"/>
                <w:szCs w:val="24"/>
              </w:rPr>
              <w:t>同期</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535"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原预计</w:t>
            </w:r>
          </w:p>
        </w:tc>
        <w:tc>
          <w:tcPr>
            <w:tcW w:w="1498"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最新预计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rPr>
              <w:t>利润总额</w:t>
            </w:r>
            <w:r>
              <w:rPr>
                <w:rFonts w:hint="eastAsia" w:ascii="仿宋" w:hAnsi="仿宋" w:eastAsia="仿宋"/>
                <w:sz w:val="24"/>
                <w:szCs w:val="24"/>
              </w:rPr>
              <w:t>（如适用）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sz w:val="24"/>
                <w:szCs w:val="24"/>
              </w:rPr>
              <w:t>盈利/亏损：__万元</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81" w:type="pct"/>
            <w:vMerge w:val="restart"/>
            <w:tcBorders>
              <w:top w:val="single" w:color="auto" w:sz="4" w:space="0"/>
              <w:left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29" w:type="pct"/>
            <w:vMerge w:val="restart"/>
            <w:tcBorders>
              <w:top w:val="single" w:color="auto" w:sz="4" w:space="0"/>
              <w:left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szCs w:val="24"/>
              </w:rPr>
            </w:pPr>
          </w:p>
        </w:tc>
        <w:tc>
          <w:tcPr>
            <w:tcW w:w="1535"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sz w:val="24"/>
                <w:szCs w:val="24"/>
              </w:rPr>
              <w:t>比上年同期增长/下降：__%</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w:t>
            </w:r>
          </w:p>
        </w:tc>
        <w:tc>
          <w:tcPr>
            <w:tcW w:w="581" w:type="pct"/>
            <w:vMerge w:val="continue"/>
            <w:tcBorders>
              <w:left w:val="single" w:color="auto" w:sz="4" w:space="0"/>
              <w:bottom w:val="single" w:color="auto" w:sz="4" w:space="0"/>
              <w:right w:val="single" w:color="auto" w:sz="4" w:space="0"/>
            </w:tcBorders>
            <w:vAlign w:val="center"/>
          </w:tcPr>
          <w:p>
            <w:pPr>
              <w:pStyle w:val="250"/>
              <w:rPr>
                <w:rFonts w:ascii="仿宋" w:hAnsi="仿宋" w:eastAsia="仿宋"/>
                <w:sz w:val="24"/>
                <w:szCs w:val="24"/>
              </w:rPr>
            </w:pPr>
          </w:p>
        </w:tc>
        <w:tc>
          <w:tcPr>
            <w:tcW w:w="529" w:type="pct"/>
            <w:vMerge w:val="continue"/>
            <w:tcBorders>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归属于上市公司股东的净利润（如适用）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sz w:val="24"/>
                <w:szCs w:val="24"/>
              </w:rPr>
              <w:t>盈利/亏损：__万元</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81"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57" w:type="pct"/>
            <w:vMerge w:val="restar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扣除非经常性损益后的净利润（如适用）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盈利/亏损：__万元</w:t>
            </w:r>
          </w:p>
        </w:tc>
        <w:tc>
          <w:tcPr>
            <w:tcW w:w="581" w:type="pct"/>
            <w:vMerge w:val="restart"/>
            <w:tcBorders>
              <w:top w:val="single" w:color="auto" w:sz="4" w:space="0"/>
              <w:left w:val="single" w:color="auto" w:sz="4" w:space="0"/>
              <w:bottom w:val="single" w:color="auto" w:sz="4" w:space="0"/>
              <w:right w:val="single" w:color="auto" w:sz="4" w:space="0"/>
            </w:tcBorders>
          </w:tcPr>
          <w:p>
            <w:pPr>
              <w:pStyle w:val="250"/>
              <w:rPr>
                <w:rFonts w:ascii="仿宋" w:hAnsi="仿宋" w:eastAsia="仿宋"/>
                <w:sz w:val="24"/>
                <w:szCs w:val="24"/>
              </w:rPr>
            </w:pPr>
            <w:r>
              <w:rPr>
                <w:rFonts w:hint="eastAsia" w:ascii="仿宋" w:hAnsi="仿宋" w:eastAsia="仿宋"/>
                <w:sz w:val="24"/>
                <w:szCs w:val="24"/>
              </w:rPr>
              <w:t>盈利/亏损：__万元</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比上年同期增长/下降：__%</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tabs>
                <w:tab w:val="left" w:pos="3240"/>
              </w:tabs>
              <w:jc w:val="left"/>
              <w:rPr>
                <w:rFonts w:ascii="仿宋" w:hAnsi="仿宋" w:eastAsia="仿宋"/>
                <w:sz w:val="24"/>
                <w:szCs w:val="24"/>
              </w:rPr>
            </w:pPr>
            <w:r>
              <w:rPr>
                <w:rFonts w:hint="eastAsia" w:ascii="仿宋" w:hAnsi="仿宋" w:eastAsia="仿宋"/>
                <w:sz w:val="24"/>
                <w:szCs w:val="24"/>
              </w:rPr>
              <w:t>基本每股收益（如适用）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w:t>
            </w:r>
          </w:p>
        </w:tc>
        <w:tc>
          <w:tcPr>
            <w:tcW w:w="58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盈利/亏损：__元/股</w:t>
            </w:r>
          </w:p>
        </w:tc>
        <w:tc>
          <w:tcPr>
            <w:tcW w:w="52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营业收入（如适用）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8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2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扣除后营业收入（如适用）</w:t>
            </w:r>
          </w:p>
        </w:tc>
        <w:tc>
          <w:tcPr>
            <w:tcW w:w="1535"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1498"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8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2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7"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项目</w:t>
            </w:r>
          </w:p>
        </w:tc>
        <w:tc>
          <w:tcPr>
            <w:tcW w:w="3033" w:type="pct"/>
            <w:gridSpan w:val="3"/>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本报告期末</w:t>
            </w:r>
          </w:p>
        </w:tc>
        <w:tc>
          <w:tcPr>
            <w:tcW w:w="581"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上年末</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是否进行修正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1415" w:type="pct"/>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原预计</w:t>
            </w:r>
          </w:p>
        </w:tc>
        <w:tc>
          <w:tcPr>
            <w:tcW w:w="1618" w:type="pct"/>
            <w:gridSpan w:val="2"/>
            <w:tcBorders>
              <w:top w:val="single" w:color="auto" w:sz="4" w:space="0"/>
              <w:left w:val="single" w:color="auto" w:sz="4" w:space="0"/>
              <w:bottom w:val="single" w:color="auto" w:sz="4" w:space="0"/>
              <w:right w:val="single" w:color="auto" w:sz="4" w:space="0"/>
            </w:tcBorders>
            <w:vAlign w:val="center"/>
          </w:tcPr>
          <w:p>
            <w:pPr>
              <w:tabs>
                <w:tab w:val="left" w:pos="3240"/>
              </w:tabs>
              <w:jc w:val="center"/>
              <w:rPr>
                <w:rFonts w:ascii="仿宋" w:hAnsi="仿宋" w:eastAsia="仿宋"/>
                <w:b/>
                <w:sz w:val="24"/>
                <w:szCs w:val="24"/>
              </w:rPr>
            </w:pPr>
            <w:r>
              <w:rPr>
                <w:rFonts w:hint="eastAsia" w:ascii="仿宋" w:hAnsi="仿宋" w:eastAsia="仿宋"/>
                <w:b/>
                <w:sz w:val="24"/>
                <w:szCs w:val="24"/>
              </w:rPr>
              <w:t>最新预计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归属于母公司所有者权益（如适用）</w:t>
            </w:r>
          </w:p>
        </w:tc>
        <w:tc>
          <w:tcPr>
            <w:tcW w:w="1415"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1618" w:type="pct"/>
            <w:gridSpan w:val="2"/>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81" w:type="pct"/>
            <w:tcBorders>
              <w:top w:val="single" w:color="auto" w:sz="4" w:space="0"/>
              <w:left w:val="single" w:color="auto" w:sz="4" w:space="0"/>
              <w:bottom w:val="single" w:color="auto" w:sz="4" w:space="0"/>
              <w:right w:val="single" w:color="auto" w:sz="4" w:space="0"/>
            </w:tcBorders>
            <w:vAlign w:val="center"/>
          </w:tcPr>
          <w:p>
            <w:pPr>
              <w:pStyle w:val="250"/>
              <w:rPr>
                <w:rFonts w:ascii="仿宋" w:hAnsi="仿宋" w:eastAsia="仿宋"/>
                <w:sz w:val="24"/>
                <w:szCs w:val="24"/>
              </w:rPr>
            </w:pPr>
            <w:r>
              <w:rPr>
                <w:rFonts w:hint="eastAsia" w:ascii="仿宋" w:hAnsi="仿宋" w:eastAsia="仿宋"/>
                <w:sz w:val="24"/>
                <w:szCs w:val="24"/>
              </w:rPr>
              <w:t>__万元</w:t>
            </w:r>
          </w:p>
        </w:tc>
        <w:tc>
          <w:tcPr>
            <w:tcW w:w="529" w:type="pct"/>
            <w:tcBorders>
              <w:top w:val="single" w:color="auto" w:sz="4" w:space="0"/>
              <w:left w:val="single" w:color="auto" w:sz="4" w:space="0"/>
              <w:bottom w:val="single" w:color="auto" w:sz="4" w:space="0"/>
              <w:right w:val="single" w:color="auto" w:sz="4" w:space="0"/>
            </w:tcBorders>
            <w:vAlign w:val="center"/>
          </w:tcPr>
          <w:p>
            <w:pPr>
              <w:pStyle w:val="250"/>
              <w:jc w:val="center"/>
              <w:rPr>
                <w:rFonts w:ascii="仿宋" w:hAnsi="仿宋" w:eastAsia="仿宋"/>
                <w:sz w:val="24"/>
                <w:szCs w:val="24"/>
              </w:rPr>
            </w:pPr>
            <w:r>
              <w:rPr>
                <w:rFonts w:hint="eastAsia" w:ascii="仿宋" w:hAnsi="仿宋" w:eastAsia="仿宋"/>
                <w:sz w:val="24"/>
                <w:szCs w:val="24"/>
              </w:rPr>
              <w:t>是/否</w:t>
            </w:r>
          </w:p>
        </w:tc>
      </w:tr>
    </w:tbl>
    <w:p>
      <w:pPr>
        <w:tabs>
          <w:tab w:val="left" w:pos="3240"/>
        </w:tabs>
        <w:ind w:firstLine="480" w:firstLineChars="200"/>
        <w:rPr>
          <w:rFonts w:ascii="仿宋" w:hAnsi="仿宋" w:eastAsia="仿宋"/>
          <w:sz w:val="24"/>
          <w:szCs w:val="24"/>
        </w:rPr>
      </w:pPr>
      <w:r>
        <w:rPr>
          <w:rFonts w:hint="eastAsia" w:ascii="仿宋" w:hAnsi="仿宋" w:eastAsia="仿宋"/>
          <w:sz w:val="24"/>
          <w:szCs w:val="24"/>
        </w:rPr>
        <w:t>注：上述（</w:t>
      </w:r>
      <w:r>
        <w:rPr>
          <w:rFonts w:ascii="仿宋" w:hAnsi="仿宋" w:eastAsia="仿宋"/>
          <w:sz w:val="24"/>
          <w:szCs w:val="24"/>
        </w:rPr>
        <w:t>1）（2）表格中，①上市公司应当根据已披露的业绩预告，列示有关财务指标的修正情况，未修正的财务指标，</w:t>
      </w:r>
      <w:r>
        <w:rPr>
          <w:rFonts w:hint="eastAsia" w:ascii="仿宋" w:hAnsi="仿宋" w:eastAsia="仿宋"/>
          <w:sz w:val="24"/>
          <w:szCs w:val="24"/>
        </w:rPr>
        <w:t>也需进行列示；②以区间方式预计年度末净资产的，相关区间不得同时包含正值和负值；③扣除后营业收入，是指按照本所《股票上市规则》第</w:t>
      </w:r>
      <w:r>
        <w:rPr>
          <w:rFonts w:ascii="仿宋" w:hAnsi="仿宋" w:eastAsia="仿宋"/>
          <w:sz w:val="24"/>
          <w:szCs w:val="24"/>
        </w:rPr>
        <w:t>9.3.2条规定</w:t>
      </w:r>
      <w:r>
        <w:rPr>
          <w:rFonts w:hint="eastAsia" w:ascii="仿宋" w:hAnsi="仿宋" w:eastAsia="仿宋"/>
          <w:sz w:val="24"/>
          <w:szCs w:val="24"/>
        </w:rPr>
        <w:t>扣除后的营业收入；④当年完成重大资产重组的公司，应同时列示重组前、后的上年同期数据；⑤如报告期相关指标为亏损或扭亏为盈，可不计算同比增长或下降的比例。</w:t>
      </w:r>
    </w:p>
    <w:p>
      <w:pPr>
        <w:tabs>
          <w:tab w:val="left" w:pos="3240"/>
        </w:tabs>
        <w:spacing w:line="540" w:lineRule="exact"/>
        <w:ind w:firstLine="643" w:firstLineChars="200"/>
        <w:rPr>
          <w:rFonts w:ascii="仿宋" w:hAnsi="仿宋" w:eastAsia="仿宋"/>
          <w:b/>
          <w:sz w:val="32"/>
          <w:szCs w:val="32"/>
        </w:rPr>
      </w:pPr>
      <w:r>
        <w:rPr>
          <w:rFonts w:hint="eastAsia" w:ascii="仿宋" w:hAnsi="仿宋" w:eastAsia="仿宋"/>
          <w:b/>
          <w:sz w:val="32"/>
          <w:szCs w:val="32"/>
        </w:rPr>
        <w:t>二、与会计师事务所沟通情况</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公司应当说明就业绩预告修正有关事项与会计师事务所进行预沟通的情况，说明公司与会计师事务所在业绩预告修正方面是否存在分歧和分歧所在。</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业绩预告修正经过注册会计师预审计的，应说明预审计的会计师事务所名称及其对公司作出业绩预告修正的依据及过程是否适当和审慎的意见。</w:t>
      </w:r>
    </w:p>
    <w:p>
      <w:pPr>
        <w:tabs>
          <w:tab w:val="left" w:pos="3240"/>
        </w:tabs>
        <w:spacing w:line="540" w:lineRule="exact"/>
        <w:ind w:firstLine="643" w:firstLineChars="200"/>
        <w:rPr>
          <w:rFonts w:ascii="仿宋" w:hAnsi="仿宋" w:eastAsia="仿宋"/>
          <w:b/>
          <w:sz w:val="32"/>
          <w:szCs w:val="32"/>
        </w:rPr>
      </w:pPr>
      <w:r>
        <w:rPr>
          <w:rFonts w:hint="eastAsia" w:ascii="仿宋" w:hAnsi="仿宋" w:eastAsia="仿宋"/>
          <w:b/>
          <w:sz w:val="32"/>
          <w:szCs w:val="32"/>
        </w:rPr>
        <w:t>三、业绩修正原因说明</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1．应当列明导致业绩预告出现重大差异的原因，例如计提减值准备、停产、补交税费等。</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2．董事会对造成上述重大差异的责任人的认定情况和处理结果说明（如适用）。 </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3．如业绩修正主要源于非经常性损益项目的影响，需说明影响金额范围，并明确指出相关项目属于非经常性损益。</w:t>
      </w:r>
    </w:p>
    <w:p>
      <w:pPr>
        <w:tabs>
          <w:tab w:val="left" w:pos="3240"/>
        </w:tabs>
        <w:spacing w:line="540" w:lineRule="exact"/>
        <w:ind w:firstLine="643" w:firstLineChars="200"/>
        <w:rPr>
          <w:rFonts w:ascii="仿宋" w:hAnsi="仿宋" w:eastAsia="仿宋"/>
          <w:b/>
          <w:sz w:val="32"/>
          <w:szCs w:val="32"/>
        </w:rPr>
      </w:pPr>
      <w:r>
        <w:rPr>
          <w:rFonts w:hint="eastAsia" w:ascii="仿宋" w:hAnsi="仿宋" w:eastAsia="仿宋"/>
          <w:b/>
          <w:sz w:val="32"/>
          <w:szCs w:val="32"/>
        </w:rPr>
        <w:t>四、风险提示</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1．如存在可能影响本次业绩预告修正内容准确性的不确定因素，应当说明是否就不确定因素与年审会计师进行沟通及沟通情况，并对可能造成的影响进行合理、量化分析。</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2．公司在披露年报后股票可可能终止上市或者股票交易可能被实施退市风险警示、其他风险警示的，应当提示风险。</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3．其他风险提示。</w:t>
      </w:r>
    </w:p>
    <w:p>
      <w:pPr>
        <w:tabs>
          <w:tab w:val="left" w:pos="3240"/>
        </w:tabs>
        <w:spacing w:line="540" w:lineRule="exact"/>
        <w:ind w:firstLine="643" w:firstLineChars="200"/>
        <w:rPr>
          <w:rFonts w:ascii="仿宋" w:hAnsi="仿宋" w:eastAsia="仿宋"/>
          <w:b/>
          <w:sz w:val="32"/>
          <w:szCs w:val="32"/>
        </w:rPr>
      </w:pPr>
      <w:r>
        <w:rPr>
          <w:rFonts w:hint="eastAsia" w:ascii="仿宋" w:hAnsi="仿宋" w:eastAsia="仿宋"/>
          <w:b/>
          <w:sz w:val="32"/>
          <w:szCs w:val="32"/>
        </w:rPr>
        <w:t>五、其他相关说明</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1．本次业绩预告修正的有关决策程序（如适用）。</w:t>
      </w:r>
    </w:p>
    <w:p>
      <w:pPr>
        <w:tabs>
          <w:tab w:val="left" w:pos="3240"/>
        </w:tabs>
        <w:spacing w:line="540" w:lineRule="exact"/>
        <w:ind w:firstLine="640" w:firstLineChars="200"/>
        <w:rPr>
          <w:rFonts w:ascii="仿宋" w:hAnsi="仿宋" w:eastAsia="仿宋"/>
          <w:sz w:val="32"/>
          <w:szCs w:val="32"/>
        </w:rPr>
      </w:pPr>
      <w:r>
        <w:rPr>
          <w:rFonts w:hint="eastAsia" w:ascii="仿宋" w:hAnsi="仿宋" w:eastAsia="仿宋"/>
          <w:sz w:val="32"/>
          <w:szCs w:val="32"/>
        </w:rPr>
        <w:t>2．其他需说明的事项。</w:t>
      </w:r>
    </w:p>
    <w:p>
      <w:pPr>
        <w:tabs>
          <w:tab w:val="left" w:pos="3240"/>
        </w:tabs>
        <w:spacing w:line="540" w:lineRule="exact"/>
        <w:ind w:firstLine="643" w:firstLineChars="200"/>
        <w:rPr>
          <w:rFonts w:ascii="仿宋" w:hAnsi="仿宋" w:eastAsia="仿宋"/>
          <w:b/>
          <w:sz w:val="32"/>
          <w:szCs w:val="32"/>
        </w:rPr>
      </w:pPr>
      <w:r>
        <w:rPr>
          <w:rFonts w:hint="eastAsia" w:ascii="仿宋" w:hAnsi="仿宋" w:eastAsia="仿宋"/>
          <w:b/>
          <w:sz w:val="32"/>
          <w:szCs w:val="32"/>
        </w:rPr>
        <w:t>六、</w:t>
      </w:r>
      <w:r>
        <w:rPr>
          <w:rFonts w:hint="eastAsia" w:ascii="仿宋" w:hAnsi="仿宋" w:eastAsia="仿宋"/>
          <w:b/>
          <w:kern w:val="0"/>
          <w:sz w:val="32"/>
          <w:szCs w:val="32"/>
        </w:rPr>
        <w:t>备查文件</w:t>
      </w:r>
    </w:p>
    <w:p>
      <w:pPr>
        <w:spacing w:line="540" w:lineRule="exact"/>
        <w:ind w:firstLine="640" w:firstLineChars="200"/>
        <w:jc w:val="right"/>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XXXXXX股份有限公司董事会</w:t>
      </w:r>
    </w:p>
    <w:p>
      <w:pPr>
        <w:tabs>
          <w:tab w:val="left" w:pos="324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XXXX年XX月XX日</w:t>
      </w:r>
    </w:p>
    <w:p>
      <w:pPr>
        <w:spacing w:line="540" w:lineRule="exact"/>
        <w:ind w:right="480" w:firstLine="640" w:firstLineChars="200"/>
        <w:jc w:val="right"/>
        <w:rPr>
          <w:rFonts w:ascii="仿宋" w:hAnsi="仿宋" w:eastAsia="仿宋"/>
          <w:sz w:val="32"/>
          <w:szCs w:val="32"/>
        </w:rPr>
      </w:pPr>
      <w:r>
        <w:rPr>
          <w:rFonts w:hint="eastAsia" w:ascii="仿宋" w:hAnsi="仿宋" w:eastAsia="仿宋"/>
          <w:sz w:val="32"/>
          <w:szCs w:val="32"/>
        </w:rPr>
        <w:t xml:space="preserve"> </w:t>
      </w:r>
    </w:p>
    <w:p>
      <w:pPr>
        <w:widowControl/>
        <w:spacing w:beforeAutospacing="1" w:afterAutospacing="1"/>
        <w:jc w:val="left"/>
        <w:rPr>
          <w:rFonts w:ascii="仿宋" w:hAnsi="仿宋" w:eastAsia="仿宋"/>
          <w:b/>
          <w:kern w:val="44"/>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176" w:name="_Toc2179909"/>
      <w:bookmarkStart w:id="177" w:name="_Toc15391901"/>
      <w:bookmarkStart w:id="178" w:name="_Toc2348637"/>
      <w:bookmarkStart w:id="179" w:name="_Toc2189126"/>
      <w:bookmarkStart w:id="180" w:name="_Toc430016278"/>
      <w:bookmarkStart w:id="181" w:name="_Toc40795925"/>
      <w:bookmarkStart w:id="182" w:name="_Toc2189893"/>
      <w:bookmarkStart w:id="183" w:name="_Toc527123128"/>
      <w:bookmarkStart w:id="184" w:name="_Toc138173226"/>
      <w:bookmarkStart w:id="185" w:name="_Toc13272"/>
      <w:bookmarkStart w:id="186" w:name="_Toc60758267"/>
      <w:bookmarkStart w:id="187" w:name="_Toc91607640"/>
      <w:bookmarkStart w:id="188" w:name="_Toc91781157"/>
      <w:bookmarkStart w:id="189" w:name="_Toc91782438"/>
      <w:bookmarkStart w:id="190" w:name="_Toc40813197"/>
      <w:r>
        <w:rPr>
          <w:rFonts w:hint="eastAsia" w:ascii="方正小标宋简体" w:hAnsi="仿宋" w:eastAsia="方正小标宋简体"/>
          <w:kern w:val="44"/>
          <w:sz w:val="44"/>
          <w:szCs w:val="44"/>
        </w:rPr>
        <w:t>定期报告类第3号　上市公司业绩快报</w:t>
      </w:r>
      <w:bookmarkEnd w:id="176"/>
      <w:bookmarkEnd w:id="177"/>
      <w:bookmarkEnd w:id="178"/>
      <w:bookmarkEnd w:id="179"/>
      <w:bookmarkEnd w:id="180"/>
      <w:bookmarkEnd w:id="181"/>
      <w:bookmarkEnd w:id="182"/>
      <w:bookmarkEnd w:id="183"/>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184"/>
      <w:bookmarkEnd w:id="185"/>
      <w:bookmarkEnd w:id="186"/>
      <w:bookmarkEnd w:id="187"/>
      <w:bookmarkEnd w:id="188"/>
      <w:bookmarkEnd w:id="189"/>
      <w:bookmarkEnd w:id="190"/>
    </w:p>
    <w:p>
      <w:pPr>
        <w:widowControl/>
        <w:adjustRightInd w:val="0"/>
        <w:snapToGrid w:val="0"/>
        <w:spacing w:line="560" w:lineRule="exact"/>
        <w:rPr>
          <w:rFonts w:ascii="仿宋" w:hAnsi="仿宋" w:eastAsia="仿宋"/>
          <w:sz w:val="32"/>
          <w:szCs w:val="32"/>
        </w:rPr>
      </w:pPr>
    </w:p>
    <w:p>
      <w:pPr>
        <w:widowControl/>
        <w:adjustRightInd w:val="0"/>
        <w:snapToGrid w:val="0"/>
        <w:spacing w:line="560" w:lineRule="exact"/>
        <w:ind w:firstLine="480" w:firstLineChars="150"/>
        <w:jc w:val="center"/>
        <w:rPr>
          <w:rFonts w:ascii="仿宋" w:hAnsi="仿宋" w:eastAsia="仿宋"/>
          <w:kern w:val="0"/>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XXXXXX股份有限公司XX年度</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（半年度、第一季度、前三季度）业绩快报</w:t>
      </w:r>
    </w:p>
    <w:p>
      <w:pPr>
        <w:autoSpaceDE w:val="0"/>
        <w:autoSpaceDN w:val="0"/>
        <w:adjustRightIn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60325</wp:posOffset>
                </wp:positionV>
                <wp:extent cx="5915025" cy="1628775"/>
                <wp:effectExtent l="0" t="0" r="28575" b="28575"/>
                <wp:wrapNone/>
                <wp:docPr id="238" name="矩形 238"/>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4.75pt;height:128.25pt;width:465.75pt;mso-position-horizontal:center;mso-position-horizontal-relative:margin;z-index:251675648;mso-width-relative:page;mso-height-relative:page;" fillcolor="#FFFFFF" filled="t" stroked="t" coordsize="21600,21600" o:gfxdata="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eBNenVAAAABgEAAA8AAAAAAAAAAQAgAAAAIgAAAGRycy9kb3ducmV2&#10;LnhtbFBLAQIUABQAAAAIAIdO4kA1jFnNOAIAAH8EAAAOAAAAAAAAAAEAIAAAACQ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560"/>
        <w:rPr>
          <w:rFonts w:ascii="仿宋" w:hAnsi="仿宋" w:eastAsia="仿宋"/>
          <w:b/>
          <w:kern w:val="0"/>
          <w:sz w:val="32"/>
          <w:szCs w:val="32"/>
        </w:rPr>
      </w:pPr>
    </w:p>
    <w:p>
      <w:pPr>
        <w:autoSpaceDE w:val="0"/>
        <w:autoSpaceDN w:val="0"/>
        <w:adjustRightInd w:val="0"/>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特别提示：</w:t>
      </w:r>
      <w:r>
        <w:rPr>
          <w:rFonts w:hint="eastAsia" w:ascii="仿宋" w:hAnsi="仿宋" w:eastAsia="仿宋"/>
          <w:kern w:val="0"/>
          <w:sz w:val="32"/>
          <w:szCs w:val="32"/>
        </w:rPr>
        <w:t>本公告所载XX年度（或半年度、第一季度、前三季度）的财务数据仅为初步核算数据，已经公司内部审计部门审计（如适用），未经会计事事务所审计，与年度报告（或半年度报告、第一季报、第三季报）中披露的最终数据可能存在差异，请投资者注意投资风险。</w:t>
      </w:r>
    </w:p>
    <w:p>
      <w:pPr>
        <w:snapToGri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一、XXXX年度（或半年度、第一季度、前三季度）主要财务数据和指标</w:t>
      </w:r>
    </w:p>
    <w:p>
      <w:pPr>
        <w:snapToGrid w:val="0"/>
        <w:spacing w:line="560" w:lineRule="exact"/>
        <w:ind w:firstLine="482" w:firstLineChars="200"/>
        <w:jc w:val="right"/>
        <w:rPr>
          <w:rFonts w:ascii="仿宋" w:hAnsi="仿宋" w:eastAsia="仿宋"/>
          <w:kern w:val="0"/>
          <w:sz w:val="24"/>
          <w:szCs w:val="32"/>
        </w:rPr>
      </w:pPr>
      <w:r>
        <w:rPr>
          <w:rFonts w:hint="eastAsia" w:ascii="仿宋" w:hAnsi="仿宋" w:eastAsia="仿宋"/>
          <w:b/>
          <w:sz w:val="24"/>
          <w:szCs w:val="32"/>
        </w:rPr>
        <w:t xml:space="preserve">                                         </w:t>
      </w:r>
      <w:r>
        <w:rPr>
          <w:rFonts w:hint="eastAsia" w:ascii="仿宋" w:hAnsi="仿宋" w:eastAsia="仿宋"/>
          <w:kern w:val="0"/>
          <w:sz w:val="24"/>
          <w:szCs w:val="32"/>
        </w:rPr>
        <w:t>单位：</w:t>
      </w:r>
    </w:p>
    <w:tbl>
      <w:tblPr>
        <w:tblStyle w:val="59"/>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1800"/>
        <w:gridCol w:w="234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上年同期</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pPr>
              <w:jc w:val="center"/>
              <w:rPr>
                <w:rFonts w:ascii="仿宋" w:hAnsi="仿宋" w:eastAsia="仿宋"/>
                <w:b/>
                <w:color w:val="000000"/>
                <w:sz w:val="24"/>
                <w:szCs w:val="24"/>
              </w:rPr>
            </w:pPr>
            <w:r>
              <w:rPr>
                <w:rFonts w:hint="eastAsia" w:ascii="仿宋" w:hAnsi="仿宋" w:eastAsia="仿宋"/>
                <w:b/>
                <w:color w:val="000000"/>
                <w:sz w:val="24"/>
                <w:szCs w:val="24"/>
              </w:rPr>
              <w:t>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营业总收入</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营业利润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利润总额</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扣除非经常性损益后的归属于上市公司股东的净利润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color w:val="000000"/>
                <w:sz w:val="24"/>
                <w:szCs w:val="24"/>
              </w:rPr>
            </w:pPr>
            <w:r>
              <w:rPr>
                <w:rFonts w:hint="eastAsia" w:ascii="仿宋" w:hAnsi="仿宋" w:eastAsia="仿宋"/>
                <w:color w:val="000000"/>
                <w:sz w:val="24"/>
                <w:szCs w:val="24"/>
              </w:rPr>
              <w:t>基本每股收益（元）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加权平均净资产收益率</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项目</w:t>
            </w:r>
          </w:p>
        </w:tc>
        <w:tc>
          <w:tcPr>
            <w:tcW w:w="180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本报告期末</w:t>
            </w:r>
          </w:p>
        </w:tc>
        <w:tc>
          <w:tcPr>
            <w:tcW w:w="2340"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本报告期初</w:t>
            </w:r>
          </w:p>
        </w:tc>
        <w:tc>
          <w:tcPr>
            <w:tcW w:w="1743" w:type="dxa"/>
            <w:tcBorders>
              <w:top w:val="single" w:color="auto" w:sz="4" w:space="0"/>
              <w:left w:val="single" w:color="auto" w:sz="4" w:space="0"/>
              <w:bottom w:val="single" w:color="auto" w:sz="4" w:space="0"/>
              <w:right w:val="single" w:color="auto" w:sz="4" w:space="0"/>
            </w:tcBorders>
            <w:shd w:val="clear" w:color="auto" w:fill="E6E6E6"/>
          </w:tcPr>
          <w:p>
            <w:pPr>
              <w:jc w:val="center"/>
              <w:rPr>
                <w:rFonts w:ascii="仿宋" w:hAnsi="仿宋" w:eastAsia="仿宋"/>
                <w:b/>
                <w:color w:val="000000"/>
                <w:sz w:val="24"/>
                <w:szCs w:val="24"/>
              </w:rPr>
            </w:pPr>
            <w:r>
              <w:rPr>
                <w:rFonts w:hint="eastAsia" w:ascii="仿宋" w:hAnsi="仿宋" w:eastAsia="仿宋"/>
                <w:b/>
                <w:color w:val="000000"/>
                <w:sz w:val="24"/>
                <w:szCs w:val="24"/>
              </w:rPr>
              <w:t>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总资产</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归属于上市公司股东的所有者权益</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股本</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归属于上市公司股东的每股净资产（元）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7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bl>
    <w:p>
      <w:pPr>
        <w:autoSpaceDE w:val="0"/>
        <w:autoSpaceDN w:val="0"/>
        <w:adjustRightInd w:val="0"/>
        <w:ind w:firstLine="480" w:firstLineChars="200"/>
        <w:rPr>
          <w:rFonts w:ascii="仿宋" w:hAnsi="仿宋" w:eastAsia="仿宋"/>
          <w:kern w:val="0"/>
          <w:sz w:val="24"/>
        </w:rPr>
      </w:pPr>
      <w:r>
        <w:rPr>
          <w:rFonts w:hint="eastAsia" w:ascii="仿宋" w:hAnsi="仿宋" w:eastAsia="仿宋"/>
          <w:kern w:val="0"/>
          <w:sz w:val="24"/>
        </w:rPr>
        <w:t>注：编制合并报表的公司应当以合并报表数据填列。</w:t>
      </w:r>
    </w:p>
    <w:p>
      <w:pPr>
        <w:autoSpaceDE w:val="0"/>
        <w:autoSpaceDN w:val="0"/>
        <w:adjustRightInd w:val="0"/>
        <w:spacing w:line="560" w:lineRule="exact"/>
        <w:ind w:firstLine="562"/>
        <w:rPr>
          <w:rFonts w:ascii="仿宋" w:hAnsi="仿宋" w:eastAsia="仿宋"/>
          <w:b/>
          <w:kern w:val="0"/>
          <w:sz w:val="32"/>
          <w:szCs w:val="32"/>
        </w:rPr>
      </w:pPr>
      <w:r>
        <w:rPr>
          <w:rFonts w:hint="eastAsia" w:ascii="仿宋" w:hAnsi="仿宋" w:eastAsia="仿宋"/>
          <w:b/>
          <w:kern w:val="0"/>
          <w:sz w:val="32"/>
          <w:szCs w:val="32"/>
        </w:rPr>
        <w:t>二、经营业绩和财务状况情况说明</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1．应简要说明报告期的经营情况、财务状况及影响经营业绩的主要因素。</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2．上表中有关项目增减变动幅度达30%以上的，应说明增减变动的主要原因。</w:t>
      </w:r>
    </w:p>
    <w:p>
      <w:pPr>
        <w:autoSpaceDE w:val="0"/>
        <w:autoSpaceDN w:val="0"/>
        <w:adjustRightInd w:val="0"/>
        <w:spacing w:line="560" w:lineRule="exact"/>
        <w:ind w:firstLine="562"/>
        <w:rPr>
          <w:rFonts w:ascii="仿宋" w:hAnsi="仿宋" w:eastAsia="仿宋"/>
          <w:b/>
          <w:kern w:val="0"/>
          <w:sz w:val="32"/>
          <w:szCs w:val="32"/>
        </w:rPr>
      </w:pPr>
      <w:r>
        <w:rPr>
          <w:rFonts w:hint="eastAsia" w:ascii="仿宋" w:hAnsi="仿宋" w:eastAsia="仿宋"/>
          <w:b/>
          <w:kern w:val="0"/>
          <w:sz w:val="32"/>
          <w:szCs w:val="32"/>
        </w:rPr>
        <w:t>三、与前次业绩预计的差异说明</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公司应说明本次业绩快报披露的经营业绩是否与前次披露的业绩预告、业绩预告修正公告、盈利预测公告中预计的业绩存在差异。若存在，应说明前次业绩预计的披露时间、方式（在发行上市文件中披露、在定期报告中披露或以临时公告的方式披露）、预计的业绩以及本次业绩快报与前次业绩预计出现差异的原因。</w:t>
      </w:r>
    </w:p>
    <w:p>
      <w:pPr>
        <w:autoSpaceDE w:val="0"/>
        <w:autoSpaceDN w:val="0"/>
        <w:adjustRightInd w:val="0"/>
        <w:spacing w:line="560" w:lineRule="exact"/>
        <w:ind w:firstLine="562"/>
        <w:rPr>
          <w:rFonts w:ascii="仿宋" w:hAnsi="仿宋" w:eastAsia="仿宋"/>
          <w:b/>
          <w:kern w:val="0"/>
          <w:sz w:val="32"/>
          <w:szCs w:val="32"/>
        </w:rPr>
      </w:pPr>
      <w:r>
        <w:rPr>
          <w:rFonts w:hint="eastAsia" w:ascii="仿宋" w:hAnsi="仿宋" w:eastAsia="仿宋"/>
          <w:b/>
          <w:kern w:val="0"/>
          <w:sz w:val="32"/>
          <w:szCs w:val="32"/>
        </w:rPr>
        <w:t>四、业绩泄漏原因和股价异动情况分析（如适用）</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1．出现业绩提前泄漏的，应当说明事件原因和公司董事会对内部责任人的认定及处理情况。</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2．出现因外界业绩传闻导致公司股票及其衍生品种出现异动的，公司董事会应当对消息来源和引发证券异动的原因进行解释和分析。</w:t>
      </w:r>
    </w:p>
    <w:p>
      <w:pPr>
        <w:autoSpaceDE w:val="0"/>
        <w:autoSpaceDN w:val="0"/>
        <w:adjustRightInd w:val="0"/>
        <w:spacing w:line="560" w:lineRule="exact"/>
        <w:ind w:firstLine="562"/>
        <w:rPr>
          <w:rFonts w:ascii="仿宋" w:hAnsi="仿宋" w:eastAsia="仿宋"/>
          <w:b/>
          <w:kern w:val="0"/>
          <w:sz w:val="32"/>
          <w:szCs w:val="32"/>
        </w:rPr>
      </w:pPr>
      <w:r>
        <w:rPr>
          <w:rFonts w:hint="eastAsia" w:ascii="仿宋" w:hAnsi="仿宋" w:eastAsia="仿宋"/>
          <w:b/>
          <w:kern w:val="0"/>
          <w:sz w:val="32"/>
          <w:szCs w:val="32"/>
        </w:rPr>
        <w:t>五、其他说明</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1．根据本次业绩快报，预计定期报告公告后公司股票可能被实施或撤销特别处理、终止上市的，应作出说明并提示风险。</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2．公司或深交所认为需说明的事项。</w:t>
      </w:r>
    </w:p>
    <w:p>
      <w:pPr>
        <w:autoSpaceDE w:val="0"/>
        <w:autoSpaceDN w:val="0"/>
        <w:adjustRightInd w:val="0"/>
        <w:spacing w:line="560" w:lineRule="exact"/>
        <w:ind w:firstLine="562"/>
        <w:rPr>
          <w:rFonts w:ascii="仿宋" w:hAnsi="仿宋" w:eastAsia="仿宋"/>
          <w:b/>
          <w:kern w:val="0"/>
          <w:sz w:val="32"/>
          <w:szCs w:val="32"/>
        </w:rPr>
      </w:pPr>
      <w:r>
        <w:rPr>
          <w:rFonts w:hint="eastAsia" w:ascii="仿宋" w:hAnsi="仿宋" w:eastAsia="仿宋"/>
          <w:b/>
          <w:kern w:val="0"/>
          <w:sz w:val="32"/>
          <w:szCs w:val="32"/>
        </w:rPr>
        <w:t>六、备查文件</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1．经公司现任法定代表人、主管会计工作的负责人、总会计师（如有）、会计机构负责人（会计主管人员）签字并盖章的比较式资产负债表和利润表；</w:t>
      </w:r>
    </w:p>
    <w:p>
      <w:pPr>
        <w:autoSpaceDE w:val="0"/>
        <w:autoSpaceDN w:val="0"/>
        <w:adjustRightInd w:val="0"/>
        <w:spacing w:line="560" w:lineRule="exact"/>
        <w:ind w:firstLine="562"/>
        <w:rPr>
          <w:rFonts w:ascii="仿宋" w:hAnsi="仿宋" w:eastAsia="仿宋"/>
          <w:kern w:val="0"/>
          <w:sz w:val="32"/>
          <w:szCs w:val="32"/>
        </w:rPr>
      </w:pPr>
      <w:r>
        <w:rPr>
          <w:rFonts w:hint="eastAsia" w:ascii="仿宋" w:hAnsi="仿宋" w:eastAsia="仿宋"/>
          <w:kern w:val="0"/>
          <w:sz w:val="32"/>
          <w:szCs w:val="32"/>
        </w:rPr>
        <w:t>2．深交所要求的其他文件。</w:t>
      </w:r>
    </w:p>
    <w:p>
      <w:pPr>
        <w:autoSpaceDE w:val="0"/>
        <w:autoSpaceDN w:val="0"/>
        <w:adjustRightInd w:val="0"/>
        <w:spacing w:line="560" w:lineRule="exact"/>
        <w:ind w:firstLine="480"/>
        <w:rPr>
          <w:rFonts w:ascii="仿宋" w:hAnsi="仿宋" w:eastAsia="仿宋" w:cs="宋体"/>
          <w:kern w:val="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widowControl/>
        <w:spacing w:beforeAutospacing="1" w:afterAutospacing="1"/>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191" w:name="_Toc91781158"/>
      <w:bookmarkStart w:id="192" w:name="_Toc91782439"/>
      <w:bookmarkStart w:id="193" w:name="_Toc138173227"/>
      <w:bookmarkStart w:id="194" w:name="_Toc26459"/>
      <w:bookmarkStart w:id="195" w:name="_Toc91607641"/>
      <w:r>
        <w:rPr>
          <w:rFonts w:hint="eastAsia" w:ascii="方正小标宋简体" w:hAnsi="仿宋" w:eastAsia="方正小标宋简体"/>
          <w:kern w:val="44"/>
          <w:sz w:val="44"/>
          <w:szCs w:val="44"/>
        </w:rPr>
        <w:t>定期报告类第4号　上市公司业绩快报</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修正公告格式</w:t>
      </w:r>
      <w:bookmarkEnd w:id="191"/>
      <w:bookmarkEnd w:id="192"/>
      <w:bookmarkEnd w:id="193"/>
      <w:bookmarkEnd w:id="194"/>
      <w:bookmarkEnd w:id="195"/>
    </w:p>
    <w:p>
      <w:pPr>
        <w:widowControl/>
        <w:adjustRightInd w:val="0"/>
        <w:snapToGrid w:val="0"/>
        <w:spacing w:line="560" w:lineRule="exact"/>
        <w:ind w:firstLine="460" w:firstLineChars="144"/>
        <w:jc w:val="center"/>
        <w:rPr>
          <w:rFonts w:ascii="仿宋" w:hAnsi="仿宋" w:eastAsia="仿宋"/>
          <w:sz w:val="32"/>
          <w:szCs w:val="32"/>
        </w:rPr>
      </w:pPr>
    </w:p>
    <w:p>
      <w:pPr>
        <w:widowControl/>
        <w:adjustRightInd w:val="0"/>
        <w:snapToGrid w:val="0"/>
        <w:spacing w:line="560" w:lineRule="exact"/>
        <w:ind w:firstLine="460" w:firstLineChars="144"/>
        <w:jc w:val="center"/>
        <w:rPr>
          <w:rFonts w:ascii="仿宋" w:hAnsi="仿宋" w:eastAsia="仿宋"/>
          <w:sz w:val="32"/>
          <w:szCs w:val="32"/>
        </w:rPr>
      </w:pPr>
      <w:r>
        <w:rPr>
          <w:rFonts w:hint="eastAsia" w:ascii="仿宋" w:hAnsi="仿宋" w:eastAsia="仿宋"/>
          <w:sz w:val="32"/>
          <w:szCs w:val="32"/>
        </w:rPr>
        <w:t>证券代码：        证券简称：        公告编号：</w:t>
      </w:r>
    </w:p>
    <w:p>
      <w:pPr>
        <w:widowControl/>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XXXXXX股份有限公司XX年度</w:t>
      </w:r>
    </w:p>
    <w:p>
      <w:pPr>
        <w:widowControl/>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（半年度、第一季度、前三季度）业绩快报修正公告</w:t>
      </w:r>
    </w:p>
    <w:p>
      <w:pPr>
        <w:autoSpaceDE w:val="0"/>
        <w:autoSpaceDN w:val="0"/>
        <w:adjustRightIn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136525</wp:posOffset>
                </wp:positionV>
                <wp:extent cx="5915025" cy="1628775"/>
                <wp:effectExtent l="0" t="0" r="28575" b="28575"/>
                <wp:wrapNone/>
                <wp:docPr id="237" name="矩形 237"/>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75pt;height:128.25pt;width:465.75pt;mso-position-horizontal:center;mso-position-horizontal-relative:margin;z-index:251676672;mso-width-relative:page;mso-height-relative:page;" fillcolor="#FFFFFF" filled="t" stroked="t" coordsize="21600,21600" o:gfxdata="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DecidYAAAAHAQAADwAAAAAAAAABACAAAAAiAAAAZHJzL2Rvd25y&#10;ZXYueG1sUEsBAhQAFAAAAAgAh07iQPwPFW85AgAAfwQAAA4AAAAAAAAAAQAgAAAAJQ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特别提示：</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本公告所载XX年度（或半年度、第一季度、前三季度）的财务数据仅为初步核算数据，已经公司内部审计部门审计（如适用），未经会计事事务所审计，与年度报告（或半年度报告、第一季报、第三季报）中披露的最终数据可能存在差异，请投资者注意投资风险。</w: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480"/>
        <w:rPr>
          <w:rFonts w:ascii="仿宋" w:hAnsi="仿宋" w:eastAsia="仿宋" w:cs="宋体"/>
          <w:b/>
          <w:kern w:val="0"/>
          <w:sz w:val="32"/>
          <w:szCs w:val="32"/>
        </w:rPr>
      </w:pPr>
      <w:r>
        <w:rPr>
          <w:rFonts w:hint="eastAsia" w:ascii="仿宋" w:hAnsi="仿宋" w:eastAsia="仿宋" w:cs="宋体"/>
          <w:b/>
          <w:kern w:val="0"/>
          <w:sz w:val="32"/>
          <w:szCs w:val="32"/>
        </w:rPr>
        <w:t>一、修正前后的主要财务数据和指标</w:t>
      </w:r>
    </w:p>
    <w:p>
      <w:pPr>
        <w:autoSpaceDE w:val="0"/>
        <w:autoSpaceDN w:val="0"/>
        <w:adjustRightInd w:val="0"/>
        <w:spacing w:line="560" w:lineRule="exact"/>
        <w:ind w:firstLine="480"/>
        <w:jc w:val="right"/>
        <w:rPr>
          <w:rFonts w:ascii="仿宋" w:hAnsi="仿宋" w:eastAsia="仿宋" w:cs="宋体"/>
          <w:kern w:val="0"/>
          <w:sz w:val="24"/>
          <w:szCs w:val="32"/>
        </w:rPr>
      </w:pPr>
      <w:r>
        <w:rPr>
          <w:rFonts w:hint="eastAsia" w:ascii="仿宋" w:hAnsi="仿宋" w:eastAsia="仿宋" w:cs="宋体"/>
          <w:kern w:val="0"/>
          <w:sz w:val="24"/>
          <w:szCs w:val="32"/>
        </w:rPr>
        <w:t xml:space="preserve">                                      单位：</w:t>
      </w:r>
    </w:p>
    <w:tbl>
      <w:tblPr>
        <w:tblStyle w:val="59"/>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1914"/>
        <w:gridCol w:w="1914"/>
        <w:gridCol w:w="150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项目</w:t>
            </w:r>
          </w:p>
        </w:tc>
        <w:tc>
          <w:tcPr>
            <w:tcW w:w="3828"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上年同期</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修正后与上年同期的增减变动幅度（％）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修正前</w:t>
            </w: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营业总收入</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营业利润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利润总额</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归属于上市公司股东的净利润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扣除非经常性损益后的归属于上市公司股东的净利润</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基本每股收益（元）</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加权平均净资产收益率</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29"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项目</w:t>
            </w:r>
          </w:p>
        </w:tc>
        <w:tc>
          <w:tcPr>
            <w:tcW w:w="3828"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本报告期末</w:t>
            </w:r>
          </w:p>
        </w:tc>
        <w:tc>
          <w:tcPr>
            <w:tcW w:w="150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本报告期初</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修正后与本报告期初的增减变动幅度（％）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修正前</w:t>
            </w:r>
          </w:p>
        </w:tc>
        <w:tc>
          <w:tcPr>
            <w:tcW w:w="191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修正后</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总资产</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归属于上市公司股东的所有者权益</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股本</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color w:val="000000"/>
                <w:sz w:val="24"/>
                <w:szCs w:val="24"/>
              </w:rPr>
            </w:pPr>
            <w:r>
              <w:rPr>
                <w:rFonts w:hint="eastAsia" w:ascii="仿宋" w:hAnsi="仿宋" w:eastAsia="仿宋"/>
                <w:color w:val="000000"/>
                <w:sz w:val="24"/>
                <w:szCs w:val="24"/>
              </w:rPr>
              <w:t>归属于上市公司股东的每股净资产（元）</w:t>
            </w:r>
          </w:p>
        </w:tc>
        <w:tc>
          <w:tcPr>
            <w:tcW w:w="191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szCs w:val="24"/>
              </w:rPr>
            </w:pPr>
          </w:p>
        </w:tc>
        <w:tc>
          <w:tcPr>
            <w:tcW w:w="153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sz w:val="24"/>
                <w:szCs w:val="24"/>
              </w:rPr>
            </w:pPr>
          </w:p>
        </w:tc>
      </w:tr>
    </w:tbl>
    <w:p>
      <w:pPr>
        <w:autoSpaceDE w:val="0"/>
        <w:autoSpaceDN w:val="0"/>
        <w:adjustRightInd w:val="0"/>
        <w:ind w:firstLine="480" w:firstLineChars="200"/>
        <w:rPr>
          <w:rFonts w:ascii="仿宋" w:hAnsi="仿宋" w:eastAsia="仿宋" w:cs="宋体"/>
          <w:kern w:val="0"/>
          <w:sz w:val="24"/>
        </w:rPr>
      </w:pPr>
      <w:r>
        <w:rPr>
          <w:rFonts w:hint="eastAsia" w:ascii="仿宋" w:hAnsi="仿宋" w:eastAsia="仿宋" w:cs="宋体"/>
          <w:kern w:val="0"/>
          <w:sz w:val="24"/>
        </w:rPr>
        <w:t>注：编制合并报表的公司应当以合并报表数据填列。</w:t>
      </w:r>
    </w:p>
    <w:p>
      <w:pPr>
        <w:autoSpaceDE w:val="0"/>
        <w:autoSpaceDN w:val="0"/>
        <w:adjustRightInd w:val="0"/>
        <w:spacing w:line="560" w:lineRule="exact"/>
        <w:ind w:firstLine="643" w:firstLineChars="200"/>
        <w:rPr>
          <w:rFonts w:ascii="仿宋" w:hAnsi="仿宋" w:eastAsia="仿宋" w:cs="宋体"/>
          <w:b/>
          <w:kern w:val="0"/>
          <w:sz w:val="32"/>
          <w:szCs w:val="32"/>
        </w:rPr>
      </w:pPr>
      <w:r>
        <w:rPr>
          <w:rFonts w:hint="eastAsia" w:ascii="仿宋" w:hAnsi="仿宋" w:eastAsia="仿宋"/>
          <w:b/>
          <w:kern w:val="0"/>
          <w:sz w:val="32"/>
          <w:szCs w:val="32"/>
        </w:rPr>
        <w:t>二、业绩快报修正情况说明</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应说明前次业绩快报的披露时间，业绩快报的差异内容，造成差异的具体原因。</w:t>
      </w:r>
    </w:p>
    <w:p>
      <w:pPr>
        <w:autoSpaceDE w:val="0"/>
        <w:autoSpaceDN w:val="0"/>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三、其他说明</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1．根据修正后的业绩快报，预计定期报告公告后公司股票可能被实施或撤销特别处理、终止上市的，应作出说明并提示风险。</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2．公司或深交所认为需说明的事项。</w:t>
      </w:r>
    </w:p>
    <w:p>
      <w:pPr>
        <w:autoSpaceDE w:val="0"/>
        <w:autoSpaceDN w:val="0"/>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四、备查文件</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1．经公司现任法定代表人、主管会计工作的负责人、总会计师（如有）、会计机构负责人（会计主管人员）签字并盖章的比较式资产负债表和利润表；</w:t>
      </w:r>
    </w:p>
    <w:p>
      <w:pPr>
        <w:autoSpaceDE w:val="0"/>
        <w:autoSpaceDN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2．深交所要求的其他文件。</w:t>
      </w:r>
    </w:p>
    <w:p>
      <w:pPr>
        <w:autoSpaceDE w:val="0"/>
        <w:autoSpaceDN w:val="0"/>
        <w:adjustRightInd w:val="0"/>
        <w:spacing w:line="560" w:lineRule="exact"/>
        <w:ind w:firstLine="640" w:firstLineChars="200"/>
        <w:rPr>
          <w:rFonts w:ascii="仿宋" w:hAnsi="仿宋" w:eastAsia="仿宋"/>
          <w:kern w:val="0"/>
          <w:sz w:val="32"/>
          <w:szCs w:val="32"/>
        </w:rPr>
      </w:pPr>
    </w:p>
    <w:p>
      <w:pPr>
        <w:autoSpaceDE w:val="0"/>
        <w:autoSpaceDN w:val="0"/>
        <w:adjustRightInd w:val="0"/>
        <w:spacing w:line="560" w:lineRule="exact"/>
        <w:ind w:firstLine="480"/>
        <w:jc w:val="right"/>
        <w:rPr>
          <w:rFonts w:ascii="仿宋" w:hAnsi="仿宋" w:eastAsia="仿宋"/>
          <w:sz w:val="32"/>
          <w:szCs w:val="32"/>
        </w:rPr>
      </w:pPr>
      <w:r>
        <w:rPr>
          <w:rFonts w:hint="eastAsia" w:ascii="仿宋" w:hAnsi="仿宋" w:eastAsia="仿宋"/>
          <w:kern w:val="0"/>
          <w:sz w:val="32"/>
          <w:szCs w:val="32"/>
        </w:rPr>
        <w:t>XXX</w:t>
      </w:r>
      <w:r>
        <w:rPr>
          <w:rFonts w:hint="eastAsia" w:ascii="仿宋" w:hAnsi="仿宋" w:eastAsia="仿宋"/>
          <w:sz w:val="32"/>
          <w:szCs w:val="32"/>
        </w:rPr>
        <w:t>XXX股份有限公司董事会</w:t>
      </w:r>
    </w:p>
    <w:p>
      <w:pPr>
        <w:adjustRightInd w:val="0"/>
        <w:spacing w:line="560" w:lineRule="exact"/>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196" w:name="_Toc408933484"/>
      <w:bookmarkStart w:id="197" w:name="_Toc138173228"/>
      <w:bookmarkStart w:id="198" w:name="_Toc91607642"/>
      <w:bookmarkStart w:id="199" w:name="_Toc16589"/>
      <w:bookmarkStart w:id="200" w:name="_Toc82556719"/>
      <w:bookmarkStart w:id="201" w:name="_Toc91782440"/>
      <w:bookmarkStart w:id="202" w:name="_Toc91781159"/>
      <w:r>
        <w:rPr>
          <w:rFonts w:hint="eastAsia" w:ascii="方正小标宋简体" w:hAnsi="仿宋" w:eastAsia="方正小标宋简体"/>
          <w:kern w:val="44"/>
          <w:sz w:val="44"/>
          <w:szCs w:val="44"/>
        </w:rPr>
        <w:t>定期报告类第5号　上市公司</w:t>
      </w:r>
      <w:bookmarkEnd w:id="196"/>
      <w:r>
        <w:rPr>
          <w:rFonts w:hint="eastAsia" w:ascii="方正小标宋简体" w:hAnsi="仿宋" w:eastAsia="方正小标宋简体"/>
          <w:kern w:val="44"/>
          <w:sz w:val="44"/>
          <w:szCs w:val="44"/>
        </w:rPr>
        <w:t>季度报告</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公告格式</w:t>
      </w:r>
      <w:bookmarkEnd w:id="197"/>
      <w:bookmarkEnd w:id="198"/>
      <w:bookmarkEnd w:id="199"/>
      <w:bookmarkEnd w:id="200"/>
      <w:bookmarkEnd w:id="201"/>
      <w:bookmarkEnd w:id="202"/>
    </w:p>
    <w:p>
      <w:pPr>
        <w:widowControl/>
        <w:spacing w:line="360" w:lineRule="auto"/>
        <w:jc w:val="left"/>
        <w:rPr>
          <w:rFonts w:ascii="宋体" w:hAnsi="宋体" w:cs="宋体"/>
          <w:color w:val="000000"/>
          <w:kern w:val="0"/>
          <w:sz w:val="24"/>
          <w:szCs w:val="24"/>
        </w:rPr>
      </w:pP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证券代码：       证券简称：      公告编号：</w:t>
      </w:r>
    </w:p>
    <w:p>
      <w:pPr>
        <w:widowControl/>
        <w:spacing w:line="360" w:lineRule="auto"/>
        <w:ind w:firstLine="480"/>
        <w:jc w:val="left"/>
        <w:rPr>
          <w:rFonts w:ascii="仿宋" w:hAnsi="仿宋" w:eastAsia="仿宋" w:cs="宋体"/>
          <w:color w:val="000000"/>
          <w:kern w:val="0"/>
          <w:sz w:val="32"/>
          <w:szCs w:val="32"/>
        </w:rPr>
      </w:pP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XXXXXX股份有限公司</w:t>
      </w:r>
    </w:p>
    <w:p>
      <w:pPr>
        <w:adjustRightInd w:val="0"/>
        <w:snapToGrid w:val="0"/>
        <w:spacing w:line="360" w:lineRule="auto"/>
        <w:jc w:val="center"/>
        <w:rPr>
          <w:rFonts w:ascii="仿宋" w:hAnsi="仿宋" w:eastAsia="仿宋"/>
          <w:color w:val="000000"/>
          <w:sz w:val="32"/>
          <w:szCs w:val="32"/>
        </w:rPr>
      </w:pPr>
      <w:r>
        <w:rPr>
          <w:rFonts w:hint="eastAsia" w:ascii="仿宋" w:hAnsi="仿宋" w:eastAsia="仿宋"/>
          <w:sz w:val="32"/>
          <w:szCs w:val="32"/>
        </w:rPr>
        <w:t>XX年第XX季度报告</w:t>
      </w:r>
    </w:p>
    <w:p>
      <w:pPr>
        <w:adjustRightInd w:val="0"/>
        <w:snapToGrid w:val="0"/>
        <w:spacing w:line="360" w:lineRule="auto"/>
        <w:rPr>
          <w:rFonts w:ascii="仿宋" w:hAnsi="仿宋" w:eastAsia="仿宋"/>
          <w:color w:val="000000"/>
          <w:sz w:val="32"/>
          <w:szCs w:val="32"/>
        </w:rPr>
      </w:pPr>
      <w:r>
        <w:rPr>
          <w:rFonts w:hint="eastAsi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3810</wp:posOffset>
                </wp:positionV>
                <wp:extent cx="5915025" cy="1628775"/>
                <wp:effectExtent l="0" t="0" r="28575" b="28575"/>
                <wp:wrapNone/>
                <wp:docPr id="236" name="矩形 236"/>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3pt;height:128.25pt;width:465.75pt;mso-position-horizontal:center;mso-position-horizontal-relative:margin;z-index:251677696;mso-width-relative:page;mso-height-relative:page;" fillcolor="#FFFFFF" filled="t" stroked="t" coordsize="21600,21600" o:gfxdata="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698K01QAAAAUBAAAPAAAAAAAAAAEAIAAAACIAAABkcnMvZG93bnJl&#10;di54bWxQSwECFAAUAAAACACHTuJAzoxxjzkCAAB/BAAADgAAAAAAAAABACAAAAAk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napToGrid w:val="0"/>
        <w:spacing w:line="360" w:lineRule="auto"/>
        <w:rPr>
          <w:rFonts w:ascii="仿宋" w:hAnsi="仿宋" w:eastAsia="仿宋"/>
          <w:color w:val="000000"/>
          <w:sz w:val="32"/>
          <w:szCs w:val="32"/>
        </w:rPr>
      </w:pPr>
    </w:p>
    <w:p>
      <w:pPr>
        <w:adjustRightInd w:val="0"/>
        <w:snapToGrid w:val="0"/>
        <w:spacing w:line="360" w:lineRule="auto"/>
        <w:rPr>
          <w:rFonts w:ascii="仿宋" w:hAnsi="仿宋" w:eastAsia="仿宋"/>
          <w:color w:val="000000"/>
          <w:sz w:val="32"/>
          <w:szCs w:val="32"/>
        </w:rPr>
      </w:pPr>
    </w:p>
    <w:p>
      <w:pPr>
        <w:adjustRightInd w:val="0"/>
        <w:snapToGrid w:val="0"/>
        <w:spacing w:line="360" w:lineRule="auto"/>
        <w:rPr>
          <w:rFonts w:ascii="仿宋" w:hAnsi="仿宋" w:eastAsia="仿宋"/>
          <w:color w:val="000000"/>
          <w:sz w:val="32"/>
          <w:szCs w:val="32"/>
        </w:rPr>
      </w:pPr>
    </w:p>
    <w:p>
      <w:pPr>
        <w:adjustRightInd w:val="0"/>
        <w:snapToGrid w:val="0"/>
        <w:spacing w:line="360" w:lineRule="auto"/>
        <w:rPr>
          <w:rFonts w:ascii="仿宋" w:hAnsi="仿宋" w:eastAsia="仿宋" w:cs="宋体"/>
          <w:b/>
          <w:bCs/>
          <w:kern w:val="0"/>
          <w:sz w:val="32"/>
          <w:szCs w:val="32"/>
        </w:rPr>
      </w:pPr>
    </w:p>
    <w:p>
      <w:pPr>
        <w:adjustRightInd w:val="0"/>
        <w:snapToGrid w:val="0"/>
        <w:spacing w:line="360" w:lineRule="auto"/>
        <w:rPr>
          <w:rFonts w:ascii="仿宋" w:hAnsi="仿宋" w:eastAsia="仿宋" w:cs="宋体"/>
          <w:b/>
          <w:bCs/>
          <w:kern w:val="0"/>
          <w:sz w:val="32"/>
          <w:szCs w:val="32"/>
        </w:rPr>
      </w:pPr>
      <w:r>
        <w:rPr>
          <w:rFonts w:hint="eastAsia" w:ascii="仿宋" w:hAnsi="仿宋" w:eastAsia="仿宋" w:cs="宋体"/>
          <w:b/>
          <w:bCs/>
          <w:kern w:val="0"/>
          <w:sz w:val="32"/>
          <w:szCs w:val="32"/>
        </w:rPr>
        <w:t>重要内容提示：</w:t>
      </w:r>
    </w:p>
    <w:p>
      <w:pPr>
        <w:adjustRightInd w:val="0"/>
        <w:snapToGrid w:val="0"/>
        <w:spacing w:line="560" w:lineRule="exact"/>
        <w:ind w:left="-14" w:firstLine="595" w:firstLineChars="186"/>
        <w:rPr>
          <w:rFonts w:ascii="仿宋" w:hAnsi="仿宋" w:eastAsia="仿宋"/>
          <w:sz w:val="32"/>
          <w:szCs w:val="32"/>
        </w:rPr>
      </w:pPr>
      <w:r>
        <w:rPr>
          <w:rFonts w:hint="eastAsia" w:ascii="仿宋" w:hAnsi="仿宋" w:eastAsia="仿宋"/>
          <w:sz w:val="32"/>
          <w:szCs w:val="32"/>
        </w:rPr>
        <w:t>1．董事会、监事会及董事、监事、高级管理人员（或除XXX外的董事、监事、高级管理人员）保证季度报告的真实、准确、完整，不存在虚假记载、误导性陈述或重大遗漏，并承担个别和连带的法律责任。董事/监事/高级管理人员XXX因____（原因）无法保证季度报告内容的真实、准确、完整，请投资者特别关注（如适用）。</w:t>
      </w:r>
    </w:p>
    <w:p>
      <w:pPr>
        <w:adjustRightInd w:val="0"/>
        <w:snapToGrid w:val="0"/>
        <w:spacing w:line="560" w:lineRule="exact"/>
        <w:ind w:left="-14" w:firstLine="595" w:firstLineChars="186"/>
        <w:rPr>
          <w:rFonts w:ascii="仿宋" w:hAnsi="仿宋" w:eastAsia="仿宋"/>
          <w:sz w:val="32"/>
          <w:szCs w:val="32"/>
        </w:rPr>
      </w:pPr>
      <w:r>
        <w:rPr>
          <w:rFonts w:hint="eastAsia" w:ascii="仿宋" w:hAnsi="仿宋" w:eastAsia="仿宋"/>
          <w:sz w:val="32"/>
          <w:szCs w:val="32"/>
        </w:rPr>
        <w:t>2．公司负责人、主管会计工作负责人及会计机构负责人（会计主管人员）保证季度报告中财务信息的真实、准确、完整。</w:t>
      </w:r>
    </w:p>
    <w:p>
      <w:pPr>
        <w:adjustRightInd w:val="0"/>
        <w:snapToGrid w:val="0"/>
        <w:spacing w:line="560" w:lineRule="exact"/>
        <w:ind w:left="-14" w:firstLine="595" w:firstLineChars="186"/>
        <w:rPr>
          <w:rFonts w:ascii="仿宋" w:hAnsi="仿宋" w:eastAsia="仿宋"/>
          <w:sz w:val="32"/>
          <w:szCs w:val="32"/>
        </w:rPr>
      </w:pPr>
      <w:r>
        <w:rPr>
          <w:rFonts w:hint="eastAsia" w:ascii="仿宋" w:hAnsi="仿宋" w:eastAsia="仿宋"/>
          <w:sz w:val="32"/>
          <w:szCs w:val="32"/>
        </w:rPr>
        <w:t xml:space="preserve">3．（第一季度、第三季度）财务会计报告是否经审计：○是  ○否 </w:t>
      </w:r>
    </w:p>
    <w:p>
      <w:pPr>
        <w:adjustRightInd w:val="0"/>
        <w:snapToGrid w:val="0"/>
        <w:spacing w:line="560" w:lineRule="exact"/>
        <w:ind w:left="-14" w:firstLine="595" w:firstLineChars="186"/>
        <w:rPr>
          <w:rFonts w:ascii="仿宋" w:hAnsi="仿宋" w:eastAsia="仿宋"/>
          <w:sz w:val="32"/>
          <w:szCs w:val="32"/>
        </w:rPr>
      </w:pPr>
      <w:r>
        <w:rPr>
          <w:rFonts w:hint="eastAsia" w:ascii="仿宋" w:hAnsi="仿宋" w:eastAsia="仿宋"/>
          <w:sz w:val="32"/>
          <w:szCs w:val="32"/>
        </w:rPr>
        <w:t>4．审计师发表非标意见的事项（如适用）。</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一、主要财务数据</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color w:val="000000"/>
          <w:kern w:val="0"/>
          <w:sz w:val="32"/>
          <w:szCs w:val="32"/>
        </w:rPr>
        <w:t>（一）</w:t>
      </w:r>
      <w:r>
        <w:rPr>
          <w:rFonts w:hint="eastAsia" w:ascii="仿宋" w:hAnsi="仿宋" w:eastAsia="仿宋" w:cs="宋体"/>
          <w:kern w:val="0"/>
          <w:sz w:val="32"/>
          <w:szCs w:val="32"/>
        </w:rPr>
        <w:t>主要会计数据和财务指标</w:t>
      </w:r>
    </w:p>
    <w:p>
      <w:pPr>
        <w:adjustRightInd w:val="0"/>
        <w:snapToGrid w:val="0"/>
        <w:spacing w:line="360" w:lineRule="auto"/>
        <w:ind w:firstLine="480" w:firstLineChars="200"/>
        <w:rPr>
          <w:rFonts w:ascii="仿宋_GB2312" w:hAnsi="宋体" w:eastAsia="仿宋_GB2312" w:cs="宋体"/>
          <w:kern w:val="0"/>
          <w:sz w:val="24"/>
          <w:szCs w:val="24"/>
        </w:rPr>
      </w:pPr>
      <w:r>
        <w:rPr>
          <w:rFonts w:hint="eastAsia" w:ascii="宋体" w:hAnsi="宋体"/>
          <w:sz w:val="24"/>
          <w:szCs w:val="24"/>
        </w:rPr>
        <w:t xml:space="preserve">                                                      </w:t>
      </w:r>
      <w:r>
        <w:rPr>
          <w:rFonts w:hint="eastAsia" w:ascii="仿宋_GB2312" w:hAnsi="宋体" w:eastAsia="仿宋_GB2312" w:cs="宋体"/>
          <w:kern w:val="0"/>
          <w:sz w:val="24"/>
          <w:szCs w:val="24"/>
        </w:rPr>
        <w:t xml:space="preserve">单位：    </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539"/>
        <w:gridCol w:w="1727"/>
        <w:gridCol w:w="1623"/>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项目</w:t>
            </w:r>
          </w:p>
        </w:tc>
        <w:tc>
          <w:tcPr>
            <w:tcW w:w="903"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本报告期</w:t>
            </w:r>
          </w:p>
        </w:tc>
        <w:tc>
          <w:tcPr>
            <w:tcW w:w="1013"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本报告期比上年同期增减（%）</w:t>
            </w:r>
          </w:p>
        </w:tc>
        <w:tc>
          <w:tcPr>
            <w:tcW w:w="952"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年初至报告期末</w:t>
            </w:r>
          </w:p>
        </w:tc>
        <w:tc>
          <w:tcPr>
            <w:tcW w:w="944"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年初至报告期末比上年同期增减（％）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营业收入</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归属于上市公司股东的净利润</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归属于上市公司股东的扣除非经常性损益的净利润</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经营活动产生的现金流量净额</w:t>
            </w:r>
          </w:p>
        </w:tc>
        <w:tc>
          <w:tcPr>
            <w:tcW w:w="90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不适用</w:t>
            </w:r>
          </w:p>
        </w:tc>
        <w:tc>
          <w:tcPr>
            <w:tcW w:w="101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不适用</w:t>
            </w: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基本每股收益</w:t>
            </w:r>
          </w:p>
          <w:p>
            <w:pPr>
              <w:jc w:val="center"/>
              <w:rPr>
                <w:rFonts w:ascii="仿宋" w:hAnsi="仿宋" w:eastAsia="仿宋"/>
                <w:sz w:val="24"/>
                <w:szCs w:val="24"/>
              </w:rPr>
            </w:pPr>
            <w:r>
              <w:rPr>
                <w:rFonts w:hint="eastAsia" w:ascii="仿宋" w:hAnsi="仿宋" w:eastAsia="仿宋"/>
                <w:sz w:val="24"/>
                <w:szCs w:val="24"/>
              </w:rPr>
              <w:t>（元/股）</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稀释每股收益</w:t>
            </w:r>
          </w:p>
          <w:p>
            <w:pPr>
              <w:jc w:val="center"/>
              <w:rPr>
                <w:rFonts w:ascii="仿宋" w:hAnsi="仿宋" w:eastAsia="仿宋"/>
                <w:sz w:val="24"/>
                <w:szCs w:val="24"/>
              </w:rPr>
            </w:pPr>
            <w:r>
              <w:rPr>
                <w:rFonts w:hint="eastAsia" w:ascii="仿宋" w:hAnsi="仿宋" w:eastAsia="仿宋"/>
                <w:sz w:val="24"/>
                <w:szCs w:val="24"/>
              </w:rPr>
              <w:t>（元/股）</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加权平均净资产收益率</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1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5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项目</w:t>
            </w:r>
          </w:p>
        </w:tc>
        <w:tc>
          <w:tcPr>
            <w:tcW w:w="903"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本报告期末</w:t>
            </w:r>
          </w:p>
        </w:tc>
        <w:tc>
          <w:tcPr>
            <w:tcW w:w="1965" w:type="pct"/>
            <w:gridSpan w:val="2"/>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上年度末</w:t>
            </w:r>
          </w:p>
        </w:tc>
        <w:tc>
          <w:tcPr>
            <w:tcW w:w="944"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本报告期末比上年度末增减（％）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总资产</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965"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sz w:val="24"/>
                <w:szCs w:val="24"/>
              </w:rPr>
            </w:pPr>
            <w:r>
              <w:rPr>
                <w:rFonts w:hint="eastAsia" w:ascii="仿宋" w:hAnsi="仿宋" w:eastAsia="仿宋"/>
                <w:sz w:val="24"/>
                <w:szCs w:val="24"/>
              </w:rPr>
              <w:t>归属于上市公司股东的所有者权益</w:t>
            </w:r>
          </w:p>
        </w:tc>
        <w:tc>
          <w:tcPr>
            <w:tcW w:w="90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965"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注：1．“本报告期”指本季度初至本季度末3个月期间，下同。</w:t>
      </w:r>
    </w:p>
    <w:p>
      <w:pPr>
        <w:ind w:firstLine="960" w:firstLineChars="400"/>
        <w:rPr>
          <w:rFonts w:ascii="仿宋_GB2312" w:hAnsi="宋体" w:eastAsia="仿宋_GB2312" w:cs="宋体"/>
          <w:kern w:val="0"/>
          <w:sz w:val="24"/>
          <w:szCs w:val="24"/>
        </w:rPr>
      </w:pPr>
      <w:r>
        <w:rPr>
          <w:rFonts w:hint="eastAsia" w:ascii="仿宋_GB2312" w:hAnsi="宋体" w:eastAsia="仿宋_GB2312" w:cs="宋体"/>
          <w:kern w:val="0"/>
          <w:sz w:val="24"/>
          <w:szCs w:val="24"/>
        </w:rPr>
        <w:t>2．以前期间财务数据涉及追溯调整或重述的，应当披露会计政策变更的原因及会计差错更正的情况，应当同时列示追溯调整或重述前后的数据。</w:t>
      </w:r>
    </w:p>
    <w:p>
      <w:pPr>
        <w:autoSpaceDE w:val="0"/>
        <w:autoSpaceDN w:val="0"/>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（二）非经常性损益项目和金额</w:t>
      </w:r>
    </w:p>
    <w:p>
      <w:pPr>
        <w:adjustRightInd w:val="0"/>
        <w:snapToGrid w:val="0"/>
        <w:spacing w:line="360" w:lineRule="auto"/>
        <w:ind w:firstLine="480" w:firstLineChars="200"/>
        <w:rPr>
          <w:rFonts w:ascii="仿宋_GB2312" w:hAnsi="宋体" w:eastAsia="仿宋_GB2312"/>
          <w:sz w:val="24"/>
          <w:szCs w:val="24"/>
        </w:rPr>
      </w:pPr>
      <w:r>
        <w:rPr>
          <w:rFonts w:hint="eastAsia" w:ascii="宋体" w:hAnsi="宋体" w:cs="宋体"/>
          <w:kern w:val="0"/>
          <w:sz w:val="24"/>
          <w:szCs w:val="24"/>
        </w:rPr>
        <w:t xml:space="preserve">                                                      </w:t>
      </w:r>
      <w:r>
        <w:rPr>
          <w:rFonts w:hint="eastAsia" w:ascii="仿宋_GB2312" w:hAnsi="宋体" w:eastAsia="仿宋_GB2312"/>
          <w:sz w:val="24"/>
          <w:szCs w:val="24"/>
        </w:rPr>
        <w:t>单位：</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9"/>
        <w:gridCol w:w="1691"/>
        <w:gridCol w:w="174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项目</w:t>
            </w:r>
          </w:p>
        </w:tc>
        <w:tc>
          <w:tcPr>
            <w:tcW w:w="992"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本报告期金额</w:t>
            </w:r>
          </w:p>
        </w:tc>
        <w:tc>
          <w:tcPr>
            <w:tcW w:w="1026"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年初至报告期期末金额</w:t>
            </w:r>
          </w:p>
        </w:tc>
        <w:tc>
          <w:tcPr>
            <w:tcW w:w="641" w:type="pct"/>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rFonts w:ascii="仿宋" w:hAnsi="仿宋" w:eastAsia="仿宋"/>
                <w:b/>
                <w:sz w:val="24"/>
                <w:szCs w:val="24"/>
              </w:rPr>
            </w:pPr>
            <w:r>
              <w:rPr>
                <w:rFonts w:hint="eastAsia" w:ascii="仿宋" w:hAnsi="仿宋" w:eastAsia="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非流动性资产处置损益（包括已计提资产减值准备的冲销部分）</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越权审批，或无正式批准文件，或偶发性的税收返还、减免</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计入当期损益的政府补助（与公司正常经营业务密切相关，符合国家政策规定、按照一定标准定额或定量持续享受的政府补助除外）</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计入当期损益的对非金融企业收取的资金占用费</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企业取得子公司、联营企业及合营企业的投资成本小于取得投资时应享有被投资单位可辨认净资产公允价值产生的收益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非货币性资产交换损益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委托他人投资或管理资产的损益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因不可抗力因素，如遭受自然灾害而计提的各项资产减值准备</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债务重组损益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企业重组费用，如安置职工的支出、整合费用等</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交易价格显失公允的交易产生的超过公允价值部分的损益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同一控制下企业合并产生的子公司期初至合并日的当期净损益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与公司正常经营业务无关的或有事项产生的损益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单独进行减值测试的应收款项减值准备转回</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对外委托贷款取得的损益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采用公允价值模式进行后续计量的投资性房地产公允价值变动产生的损益</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根据税收、会计等法律、法规的要求对当期损益进行一次性调整对当期损益的影响</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受托经营取得的托管费收入</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除上述各项之外的其他营业外收入和支出</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其他符合非经常性损益定义的损益项目</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sz w:val="24"/>
                <w:szCs w:val="24"/>
              </w:rPr>
            </w:pPr>
            <w:r>
              <w:rPr>
                <w:rFonts w:hint="eastAsia" w:ascii="仿宋" w:hAnsi="仿宋" w:eastAsia="仿宋"/>
                <w:sz w:val="24"/>
                <w:szCs w:val="24"/>
              </w:rPr>
              <w:t>减：所得税影响额</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ind w:firstLine="480" w:firstLineChars="200"/>
              <w:rPr>
                <w:rFonts w:ascii="仿宋" w:hAnsi="仿宋" w:eastAsia="仿宋"/>
                <w:sz w:val="24"/>
                <w:szCs w:val="24"/>
              </w:rPr>
            </w:pPr>
            <w:r>
              <w:rPr>
                <w:rFonts w:hint="eastAsia" w:ascii="仿宋" w:hAnsi="仿宋" w:eastAsia="仿宋"/>
                <w:sz w:val="24"/>
                <w:szCs w:val="24"/>
              </w:rPr>
              <w:t>少数股东权益影响额（税后）</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tcBorders>
              <w:top w:val="single" w:color="auto" w:sz="4" w:space="0"/>
              <w:left w:val="single" w:color="auto" w:sz="4" w:space="0"/>
              <w:bottom w:val="single" w:color="auto" w:sz="4" w:space="0"/>
              <w:right w:val="single" w:color="auto" w:sz="4" w:space="0"/>
            </w:tcBorders>
            <w:shd w:val="clear" w:color="auto" w:fill="E6E6E6"/>
            <w:vAlign w:val="center"/>
          </w:tcPr>
          <w:p>
            <w:pPr>
              <w:rPr>
                <w:rFonts w:ascii="仿宋" w:hAnsi="仿宋" w:eastAsia="仿宋"/>
                <w:b/>
                <w:sz w:val="24"/>
                <w:szCs w:val="24"/>
              </w:rPr>
            </w:pPr>
            <w:r>
              <w:rPr>
                <w:rFonts w:hint="eastAsia" w:ascii="仿宋" w:hAnsi="仿宋" w:eastAsia="仿宋"/>
                <w:b/>
                <w:sz w:val="24"/>
                <w:szCs w:val="24"/>
              </w:rPr>
              <w:t>合计</w:t>
            </w:r>
          </w:p>
        </w:tc>
        <w:tc>
          <w:tcPr>
            <w:tcW w:w="992" w:type="pct"/>
            <w:tcBorders>
              <w:top w:val="single" w:color="auto" w:sz="4" w:space="0"/>
              <w:left w:val="single" w:color="auto" w:sz="4" w:space="0"/>
              <w:bottom w:val="single" w:color="auto" w:sz="4" w:space="0"/>
              <w:right w:val="single" w:color="auto" w:sz="4" w:space="0"/>
            </w:tcBorders>
          </w:tcPr>
          <w:p>
            <w:pPr>
              <w:rPr>
                <w:rFonts w:ascii="仿宋" w:hAnsi="仿宋" w:eastAsia="仿宋"/>
                <w:b/>
                <w:sz w:val="24"/>
                <w:szCs w:val="24"/>
              </w:rPr>
            </w:pP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szCs w:val="24"/>
              </w:rPr>
            </w:pPr>
          </w:p>
        </w:tc>
        <w:tc>
          <w:tcPr>
            <w:tcW w:w="6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szCs w:val="24"/>
              </w:rPr>
            </w:pPr>
          </w:p>
        </w:tc>
      </w:tr>
    </w:tbl>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注：公司应当说明“其他符合非经常性损益定义的损益项目”的具体情况；如将《公开发行证券的公司信息披露解释性公告第1号——非经常性损益》中列举的非经常性损益项目界定为经常性损益项目的，应当说明原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（三）主要会计数据和财务指标发生变动的情况及原因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上市公司上述主要会计数据和财务指标涉及资产负债表科目的与上年度期末相比、涉及利润表科目的与上年同期相比，增减变动幅度超过30%的，应当说明变动情况及主要原因。</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二、股东信息</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（一）普通股股东总数和表决权恢复的优先股股东数量及前十名股东持股情况表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41"/>
        <w:gridCol w:w="518"/>
        <w:gridCol w:w="723"/>
        <w:gridCol w:w="1241"/>
        <w:gridCol w:w="1241"/>
        <w:gridCol w:w="124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90"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kern w:val="0"/>
                <w:sz w:val="24"/>
                <w:szCs w:val="24"/>
              </w:rPr>
              <w:t>报告期末普通股股东总数</w:t>
            </w:r>
          </w:p>
        </w:tc>
        <w:tc>
          <w:tcPr>
            <w:tcW w:w="728"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c>
          <w:tcPr>
            <w:tcW w:w="1456"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报告期末表决权恢复的优先股股东总数（如有）</w:t>
            </w:r>
          </w:p>
        </w:tc>
        <w:tc>
          <w:tcPr>
            <w:tcW w:w="1426"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前10名股东持股情况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63"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股东名称</w:t>
            </w:r>
          </w:p>
        </w:tc>
        <w:tc>
          <w:tcPr>
            <w:tcW w:w="728"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股东性质</w:t>
            </w:r>
          </w:p>
        </w:tc>
        <w:tc>
          <w:tcPr>
            <w:tcW w:w="728" w:type="pct"/>
            <w:gridSpan w:val="2"/>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持股数量（股）</w:t>
            </w:r>
          </w:p>
        </w:tc>
        <w:tc>
          <w:tcPr>
            <w:tcW w:w="728"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持股比例（%）</w:t>
            </w:r>
          </w:p>
        </w:tc>
        <w:tc>
          <w:tcPr>
            <w:tcW w:w="728"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持有有限售条件股份数量（股）（如为纯B股公司，列示“持有非流通的股份数量”）</w:t>
            </w:r>
          </w:p>
        </w:tc>
        <w:tc>
          <w:tcPr>
            <w:tcW w:w="1426"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质押、标记或冻结情况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股份状态</w:t>
            </w:r>
          </w:p>
        </w:tc>
        <w:tc>
          <w:tcPr>
            <w:tcW w:w="69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cs="宋体"/>
                <w:kern w:val="0"/>
                <w:sz w:val="24"/>
                <w:szCs w:val="24"/>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69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前10名无限售条件股东持股情况（如为纯B股公司，列示“前10名流通股股东持股情况”）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95" w:type="pct"/>
            <w:gridSpan w:val="3"/>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股东名称</w:t>
            </w:r>
          </w:p>
        </w:tc>
        <w:tc>
          <w:tcPr>
            <w:tcW w:w="1879" w:type="pct"/>
            <w:gridSpan w:val="3"/>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kern w:val="0"/>
                <w:sz w:val="24"/>
                <w:szCs w:val="24"/>
              </w:rPr>
              <w:t>持有无限售条件股份数量（股）</w:t>
            </w:r>
          </w:p>
        </w:tc>
        <w:tc>
          <w:tcPr>
            <w:tcW w:w="1426"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股份种类及数量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股份种类</w:t>
            </w:r>
          </w:p>
        </w:tc>
        <w:tc>
          <w:tcPr>
            <w:tcW w:w="69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879"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728"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szCs w:val="24"/>
              </w:rPr>
            </w:pPr>
          </w:p>
        </w:tc>
        <w:tc>
          <w:tcPr>
            <w:tcW w:w="69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kern w:val="0"/>
                <w:sz w:val="24"/>
                <w:szCs w:val="24"/>
              </w:rPr>
              <w:t>上述股东关联关系或一致行动的说明</w:t>
            </w:r>
          </w:p>
        </w:tc>
        <w:tc>
          <w:tcPr>
            <w:tcW w:w="3305"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r>
              <w:rPr>
                <w:rFonts w:hint="eastAsia" w:ascii="仿宋" w:hAnsi="仿宋" w:eastAsia="仿宋"/>
                <w:kern w:val="0"/>
                <w:sz w:val="24"/>
                <w:szCs w:val="24"/>
              </w:rPr>
              <w:t>前10名股东参与融资融券业务情况说明（如有）</w:t>
            </w:r>
          </w:p>
        </w:tc>
        <w:tc>
          <w:tcPr>
            <w:tcW w:w="3305"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bl>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（二）公司优先股股东总数及前10名优先股股东持股情况表（如有）</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848"/>
        <w:gridCol w:w="510"/>
        <w:gridCol w:w="680"/>
        <w:gridCol w:w="1176"/>
        <w:gridCol w:w="1190"/>
        <w:gridCol w:w="11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报告期末优先股股东总数</w:t>
            </w:r>
          </w:p>
        </w:tc>
        <w:tc>
          <w:tcPr>
            <w:tcW w:w="3305" w:type="pct"/>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前10名优先股股东持股情况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11"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股东名称</w:t>
            </w:r>
          </w:p>
        </w:tc>
        <w:tc>
          <w:tcPr>
            <w:tcW w:w="1084"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股东性质</w:t>
            </w:r>
          </w:p>
        </w:tc>
        <w:tc>
          <w:tcPr>
            <w:tcW w:w="698" w:type="pct"/>
            <w:gridSpan w:val="2"/>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持股数量（股）</w:t>
            </w:r>
          </w:p>
        </w:tc>
        <w:tc>
          <w:tcPr>
            <w:tcW w:w="690"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持股比例（%）</w:t>
            </w:r>
          </w:p>
        </w:tc>
        <w:tc>
          <w:tcPr>
            <w:tcW w:w="698" w:type="pct"/>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持有有限售条件股份数量（股）</w:t>
            </w:r>
          </w:p>
        </w:tc>
        <w:tc>
          <w:tcPr>
            <w:tcW w:w="121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质押、标记或冻结情况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0"/>
              </w:rPr>
            </w:pPr>
          </w:p>
        </w:tc>
        <w:tc>
          <w:tcPr>
            <w:tcW w:w="66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股份状态</w:t>
            </w:r>
          </w:p>
        </w:tc>
        <w:tc>
          <w:tcPr>
            <w:tcW w:w="550"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0"/>
              </w:rPr>
            </w:pPr>
            <w:r>
              <w:rPr>
                <w:rFonts w:hint="eastAsia" w:ascii="仿宋" w:hAnsi="仿宋" w:eastAsia="仿宋" w:cs="宋体"/>
                <w:kern w:val="0"/>
                <w:sz w:val="24"/>
                <w:szCs w:val="24"/>
              </w:rPr>
              <w:t>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1084"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2"/>
                <w:szCs w:val="20"/>
              </w:rPr>
            </w:pPr>
          </w:p>
        </w:tc>
        <w:tc>
          <w:tcPr>
            <w:tcW w:w="698"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690"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698"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668" w:type="pct"/>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前10名表决权恢复的优先股股东持股情况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94" w:type="pct"/>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股东名称</w:t>
            </w:r>
          </w:p>
        </w:tc>
        <w:tc>
          <w:tcPr>
            <w:tcW w:w="3006"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宋体"/>
                <w:kern w:val="0"/>
                <w:sz w:val="24"/>
                <w:szCs w:val="24"/>
              </w:rPr>
              <w:t>持有表决权恢复的优先股股份数量（股）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c>
          <w:tcPr>
            <w:tcW w:w="3006"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szCs w:val="20"/>
              </w:rPr>
            </w:pPr>
            <w:r>
              <w:rPr>
                <w:rFonts w:hint="eastAsia" w:ascii="仿宋" w:hAnsi="仿宋" w:eastAsia="仿宋"/>
                <w:kern w:val="0"/>
                <w:sz w:val="24"/>
                <w:szCs w:val="24"/>
              </w:rPr>
              <w:t>上述股东关联关系或一致行动的说明</w:t>
            </w:r>
          </w:p>
        </w:tc>
        <w:tc>
          <w:tcPr>
            <w:tcW w:w="3006" w:type="pct"/>
            <w:gridSpan w:val="5"/>
            <w:tcBorders>
              <w:top w:val="single" w:color="auto" w:sz="4" w:space="0"/>
              <w:left w:val="single" w:color="auto" w:sz="4" w:space="0"/>
              <w:bottom w:val="single" w:color="auto" w:sz="4" w:space="0"/>
              <w:right w:val="single" w:color="auto" w:sz="4" w:space="0"/>
            </w:tcBorders>
          </w:tcPr>
          <w:p>
            <w:pPr>
              <w:rPr>
                <w:rFonts w:ascii="仿宋" w:hAnsi="仿宋" w:eastAsia="仿宋" w:cs="宋体"/>
                <w:kern w:val="0"/>
                <w:sz w:val="24"/>
                <w:szCs w:val="24"/>
              </w:rPr>
            </w:pPr>
          </w:p>
        </w:tc>
      </w:tr>
    </w:tbl>
    <w:p>
      <w:pPr>
        <w:widowControl/>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三、其他重要事项</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上市公司应当审慎评估有助于投资者了解报告期经营情况的其他重要信息，如存在前述信息，应当予以披露，并提醒投资者关注。</w:t>
      </w:r>
    </w:p>
    <w:p>
      <w:pPr>
        <w:widowControl/>
        <w:spacing w:line="560" w:lineRule="exact"/>
        <w:ind w:firstLine="643" w:firstLineChars="20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四、季度财务报表</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上市公司应当披露截至报告期末的比较式合并资产负债表、年初至报告期末的比较式合并利润表和比较式现金流量表。</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季度财务会计报告经审计的，公司应当披露审计意见类型；被注册会计师出具非标准审计意见的，公司还应当披露审计报告。</w:t>
      </w:r>
    </w:p>
    <w:p>
      <w:pPr>
        <w:widowControl/>
        <w:spacing w:line="360" w:lineRule="auto"/>
        <w:ind w:firstLine="480"/>
        <w:rPr>
          <w:rFonts w:ascii="仿宋" w:hAnsi="仿宋" w:eastAsia="仿宋" w:cs="宋体"/>
          <w:color w:val="000000"/>
          <w:kern w:val="0"/>
          <w:sz w:val="32"/>
          <w:szCs w:val="32"/>
        </w:rPr>
      </w:pPr>
    </w:p>
    <w:p>
      <w:pPr>
        <w:widowControl/>
        <w:spacing w:line="560" w:lineRule="exac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XXXX股份有限公司董事会</w:t>
      </w:r>
    </w:p>
    <w:p>
      <w:pPr>
        <w:widowControl/>
        <w:spacing w:line="560" w:lineRule="exac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XXXX年XX月XX日</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2"/>
        <w:rPr>
          <w:rFonts w:hint="eastAsia" w:ascii="方正小标宋简体" w:eastAsia="方正小标宋简体"/>
          <w:sz w:val="44"/>
          <w:szCs w:val="44"/>
        </w:rPr>
      </w:pPr>
      <w:r>
        <w:rPr>
          <w:rFonts w:hint="eastAsia" w:ascii="仿宋" w:hAnsi="仿宋" w:eastAsia="仿宋" w:cs="宋体"/>
          <w:color w:val="000000"/>
          <w:kern w:val="0"/>
          <w:sz w:val="32"/>
          <w:szCs w:val="32"/>
        </w:rPr>
        <w:br w:type="page"/>
      </w:r>
      <w:bookmarkStart w:id="203" w:name="_Toc16562"/>
      <w:bookmarkStart w:id="204" w:name="_Toc91781160"/>
      <w:bookmarkStart w:id="205" w:name="_Toc91782441"/>
      <w:bookmarkStart w:id="206" w:name="_Toc40813184"/>
      <w:bookmarkStart w:id="207" w:name="_Toc91607643"/>
      <w:bookmarkStart w:id="208" w:name="_Toc40795912"/>
      <w:bookmarkStart w:id="209" w:name="_Toc138173229"/>
      <w:bookmarkStart w:id="210" w:name="_Toc60758254"/>
      <w:r>
        <w:rPr>
          <w:rFonts w:hint="eastAsia" w:ascii="方正小标宋简体" w:eastAsia="方正小标宋简体"/>
          <w:sz w:val="44"/>
          <w:szCs w:val="44"/>
        </w:rPr>
        <w:t>定期报告类第6号</w:t>
      </w:r>
      <w:bookmarkEnd w:id="203"/>
      <w:r>
        <w:rPr>
          <w:rFonts w:hint="eastAsia" w:ascii="方正小标宋简体" w:eastAsia="方正小标宋简体"/>
          <w:sz w:val="44"/>
          <w:szCs w:val="44"/>
        </w:rPr>
        <w:t>　</w:t>
      </w:r>
    </w:p>
    <w:p>
      <w:pPr>
        <w:keepNext/>
        <w:keepLines/>
        <w:pageBreakBefore w:val="0"/>
        <w:widowControl w:val="0"/>
        <w:kinsoku/>
        <w:wordWrap/>
        <w:overflowPunct/>
        <w:topLinePunct w:val="0"/>
        <w:autoSpaceDE/>
        <w:autoSpaceDN/>
        <w:bidi w:val="0"/>
        <w:adjustRightInd/>
        <w:snapToGrid/>
        <w:spacing w:line="560" w:lineRule="exact"/>
        <w:jc w:val="center"/>
        <w:textAlignment w:val="auto"/>
        <w:outlineLvl w:val="2"/>
        <w:rPr>
          <w:rFonts w:ascii="方正小标宋简体" w:hAnsi="仿宋" w:eastAsia="方正小标宋简体"/>
          <w:kern w:val="44"/>
          <w:sz w:val="44"/>
          <w:szCs w:val="44"/>
        </w:rPr>
      </w:pPr>
      <w:bookmarkStart w:id="211" w:name="_Toc13175"/>
      <w:bookmarkStart w:id="212" w:name="_Toc9155"/>
      <w:r>
        <w:rPr>
          <w:rFonts w:hint="eastAsia" w:ascii="方正小标宋简体" w:eastAsia="方正小标宋简体"/>
          <w:sz w:val="44"/>
          <w:szCs w:val="44"/>
        </w:rPr>
        <w:t>上市公司利润分配和资本公积金转增</w:t>
      </w:r>
      <w:r>
        <w:rPr>
          <w:rFonts w:hint="eastAsia" w:ascii="方正小标宋简体" w:eastAsia="方正小标宋简体"/>
          <w:sz w:val="44"/>
          <w:szCs w:val="44"/>
          <w:lang w:eastAsia="zh-CN"/>
        </w:rPr>
        <w:t>股本</w:t>
      </w:r>
      <w:r>
        <w:rPr>
          <w:rFonts w:hint="eastAsia" w:ascii="方正小标宋简体" w:eastAsia="方正小标宋简体"/>
          <w:sz w:val="44"/>
          <w:szCs w:val="44"/>
        </w:rPr>
        <w:t>方案公告格式</w:t>
      </w:r>
      <w:bookmarkEnd w:id="211"/>
      <w:bookmarkEnd w:id="212"/>
    </w:p>
    <w:p>
      <w:pPr>
        <w:spacing w:line="560" w:lineRule="exact"/>
        <w:rPr>
          <w:rFonts w:ascii="仿宋" w:hAnsi="仿宋" w:eastAsia="仿宋"/>
          <w:sz w:val="32"/>
          <w:szCs w:val="32"/>
        </w:rPr>
      </w:pP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适用情形：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olor w:val="000000"/>
          <w:sz w:val="32"/>
          <w:szCs w:val="32"/>
        </w:rPr>
        <w:t xml:space="preserve">1. </w:t>
      </w:r>
      <w:r>
        <w:rPr>
          <w:rFonts w:hint="eastAsia" w:ascii="仿宋" w:hAnsi="仿宋" w:eastAsia="仿宋"/>
          <w:sz w:val="32"/>
          <w:szCs w:val="32"/>
          <w:lang w:eastAsia="zh-CN"/>
        </w:rPr>
        <w:t>上市公司编制利润分配、资本公积金转增股本方案，包括派发现金红利、股票股利、以资本公积金转增股本等，适用本公告格式。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sz w:val="32"/>
          <w:szCs w:val="32"/>
          <w:lang w:eastAsia="zh-CN"/>
        </w:rPr>
        <w:t>上市公司拟不实施年度现金分红的，应当参照本公告格式披露相关内容。</w:t>
      </w:r>
    </w:p>
    <w:p>
      <w:pPr>
        <w:autoSpaceDE w:val="0"/>
        <w:autoSpaceDN w:val="0"/>
        <w:adjustRightInd w:val="0"/>
        <w:spacing w:line="560" w:lineRule="exact"/>
        <w:jc w:val="center"/>
        <w:rPr>
          <w:rFonts w:hint="eastAsia"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hint="eastAsia" w:ascii="仿宋" w:hAnsi="仿宋" w:eastAsia="仿宋"/>
          <w:sz w:val="32"/>
          <w:szCs w:val="32"/>
          <w:highlight w:val="none"/>
          <w:lang w:eastAsia="zh-CN"/>
        </w:rPr>
      </w:pPr>
      <w:r>
        <w:rPr>
          <w:rFonts w:hint="eastAsia" w:ascii="仿宋" w:hAnsi="仿宋" w:eastAsia="仿宋"/>
          <w:sz w:val="32"/>
          <w:szCs w:val="32"/>
        </w:rPr>
        <w:t>XXXXXX股份有限公司</w:t>
      </w:r>
      <w:r>
        <w:rPr>
          <w:rFonts w:hint="eastAsia" w:ascii="仿宋" w:hAnsi="仿宋" w:eastAsia="仿宋"/>
          <w:sz w:val="32"/>
          <w:szCs w:val="32"/>
          <w:highlight w:val="none"/>
          <w:lang w:val="en-US" w:eastAsia="zh-CN"/>
        </w:rPr>
        <w:t>利润分配和资本公积金转增股本方案</w:t>
      </w:r>
    </w:p>
    <w:p>
      <w:pPr>
        <w:autoSpaceDE w:val="0"/>
        <w:autoSpaceDN w:val="0"/>
        <w:adjustRightIn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719680" behindDoc="0" locked="0" layoutInCell="1" allowOverlap="1">
                <wp:simplePos x="0" y="0"/>
                <wp:positionH relativeFrom="margin">
                  <wp:posOffset>-334645</wp:posOffset>
                </wp:positionH>
                <wp:positionV relativeFrom="paragraph">
                  <wp:posOffset>120650</wp:posOffset>
                </wp:positionV>
                <wp:extent cx="5915025" cy="1628775"/>
                <wp:effectExtent l="4445" t="4445" r="5080" b="508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35pt;margin-top:9.5pt;height:128.25pt;width:465.75pt;mso-position-horizontal-relative:margin;z-index:251719680;mso-width-relative:page;mso-height-relative:page;" fillcolor="#FFFFFF" filled="t" stroked="t" coordsize="21600,21600" o:gfxdata="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hZBY9gAAAAKAQAADwAAAAAAAAABACAAAAAiAAAAZHJzL2Rvd25y&#10;ZXYueG1sUEsBAhQAFAAAAAgAh07iQM2X1hc3AgAAfQQAAA4AAAAAAAAAAQAgAAAAJw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tabs>
          <w:tab w:val="left" w:pos="900"/>
        </w:tabs>
        <w:spacing w:line="560" w:lineRule="exact"/>
        <w:ind w:firstLine="48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numPr>
          <w:ilvl w:val="0"/>
          <w:numId w:val="0"/>
        </w:numPr>
        <w:tabs>
          <w:tab w:val="left" w:pos="900"/>
        </w:tabs>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上市</w:t>
      </w:r>
      <w:r>
        <w:rPr>
          <w:rFonts w:hint="eastAsia" w:ascii="仿宋" w:hAnsi="仿宋" w:eastAsia="仿宋"/>
          <w:sz w:val="32"/>
          <w:szCs w:val="32"/>
        </w:rPr>
        <w:t>公司</w:t>
      </w:r>
      <w:r>
        <w:rPr>
          <w:rFonts w:hint="eastAsia" w:ascii="仿宋" w:hAnsi="仿宋" w:eastAsia="仿宋"/>
          <w:sz w:val="32"/>
          <w:szCs w:val="32"/>
          <w:lang w:eastAsia="zh-CN"/>
        </w:rPr>
        <w:t>披露</w:t>
      </w:r>
      <w:r>
        <w:rPr>
          <w:rFonts w:hint="eastAsia" w:ascii="仿宋" w:hAnsi="仿宋" w:eastAsia="仿宋"/>
          <w:sz w:val="32"/>
          <w:szCs w:val="32"/>
          <w:lang w:val="en-US" w:eastAsia="zh-CN"/>
        </w:rPr>
        <w:t>现金分红方案后，触及本所</w:t>
      </w:r>
      <w:r>
        <w:rPr>
          <w:rFonts w:hint="eastAsia" w:ascii="仿宋" w:hAnsi="仿宋" w:eastAsia="仿宋" w:cs="仿宋"/>
          <w:color w:val="000000"/>
          <w:kern w:val="0"/>
          <w:sz w:val="32"/>
          <w:szCs w:val="32"/>
          <w:highlight w:val="none"/>
          <w:lang w:val="en-US" w:eastAsia="zh-CN" w:bidi="ar"/>
        </w:rPr>
        <w:t>《股票上市规则》第9.8.1条规定相关情形的，应当提示其</w:t>
      </w:r>
      <w:r>
        <w:rPr>
          <w:rFonts w:hint="eastAsia" w:ascii="仿宋" w:hAnsi="仿宋" w:eastAsia="仿宋"/>
          <w:sz w:val="32"/>
          <w:szCs w:val="32"/>
        </w:rPr>
        <w:t>股票</w:t>
      </w:r>
      <w:r>
        <w:rPr>
          <w:rFonts w:hint="eastAsia" w:ascii="仿宋" w:hAnsi="仿宋" w:eastAsia="仿宋"/>
          <w:sz w:val="32"/>
          <w:szCs w:val="32"/>
          <w:lang w:eastAsia="zh-CN"/>
        </w:rPr>
        <w:t>交易</w:t>
      </w:r>
      <w:r>
        <w:rPr>
          <w:rFonts w:hint="eastAsia" w:ascii="仿宋" w:hAnsi="仿宋" w:eastAsia="仿宋"/>
          <w:sz w:val="32"/>
          <w:szCs w:val="32"/>
          <w:lang w:val="en-US" w:eastAsia="zh-CN"/>
        </w:rPr>
        <w:t>可能被实施其他风险警示。</w:t>
      </w:r>
    </w:p>
    <w:p>
      <w:pPr>
        <w:tabs>
          <w:tab w:val="left" w:pos="900"/>
        </w:tabs>
        <w:spacing w:line="56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一</w:t>
      </w:r>
      <w:r>
        <w:rPr>
          <w:rFonts w:hint="eastAsia" w:ascii="仿宋" w:hAnsi="仿宋" w:eastAsia="仿宋"/>
          <w:b/>
          <w:sz w:val="32"/>
          <w:szCs w:val="32"/>
        </w:rPr>
        <w:t>、</w:t>
      </w:r>
      <w:r>
        <w:rPr>
          <w:rFonts w:hint="eastAsia" w:ascii="仿宋" w:hAnsi="仿宋" w:eastAsia="仿宋"/>
          <w:b/>
          <w:sz w:val="32"/>
          <w:szCs w:val="32"/>
          <w:lang w:eastAsia="zh-CN"/>
        </w:rPr>
        <w:t>审议程序</w:t>
      </w:r>
    </w:p>
    <w:p>
      <w:pPr>
        <w:widowControl w:val="0"/>
        <w:topLinePunct/>
        <w:adjustRightInd w:val="0"/>
        <w:snapToGrid w:val="0"/>
        <w:spacing w:line="560" w:lineRule="exact"/>
        <w:ind w:firstLine="640" w:firstLineChars="200"/>
        <w:jc w:val="both"/>
        <w:outlineLvl w:val="2"/>
        <w:rPr>
          <w:rFonts w:hint="eastAsia" w:ascii="仿宋" w:hAnsi="仿宋" w:eastAsia="仿宋" w:cs="Times New Roman"/>
          <w:color w:val="auto"/>
          <w:kern w:val="2"/>
          <w:sz w:val="32"/>
          <w:szCs w:val="32"/>
          <w:lang w:val="en-US" w:eastAsia="zh-CN" w:bidi="ar-SA"/>
        </w:rPr>
      </w:pPr>
      <w:bookmarkStart w:id="213" w:name="_Toc31747"/>
      <w:r>
        <w:rPr>
          <w:rFonts w:hint="eastAsia" w:ascii="仿宋" w:hAnsi="仿宋" w:eastAsia="仿宋" w:cs="Times New Roman"/>
          <w:color w:val="000000"/>
          <w:kern w:val="2"/>
          <w:sz w:val="32"/>
          <w:szCs w:val="32"/>
          <w:lang w:val="en-US" w:eastAsia="zh-CN" w:bidi="ar-SA"/>
        </w:rPr>
        <w:t xml:space="preserve">1. </w:t>
      </w:r>
      <w:r>
        <w:rPr>
          <w:rFonts w:hint="eastAsia" w:ascii="仿宋" w:hAnsi="仿宋" w:eastAsia="仿宋" w:cs="Times New Roman"/>
          <w:color w:val="auto"/>
          <w:kern w:val="2"/>
          <w:sz w:val="32"/>
          <w:szCs w:val="32"/>
          <w:lang w:val="en-US" w:eastAsia="zh-CN" w:bidi="ar-SA"/>
        </w:rPr>
        <w:t>说明提议情况（如有）</w:t>
      </w:r>
      <w:r>
        <w:rPr>
          <w:rFonts w:hint="eastAsia" w:ascii="仿宋" w:hAnsi="仿宋" w:eastAsia="仿宋" w:cs="Times New Roman"/>
          <w:color w:val="auto"/>
          <w:kern w:val="2"/>
          <w:sz w:val="32"/>
          <w:szCs w:val="32"/>
          <w:highlight w:val="none"/>
          <w:lang w:val="en-US" w:eastAsia="zh-CN" w:bidi="ar-SA"/>
        </w:rPr>
        <w:t>，董事会会议的</w:t>
      </w:r>
      <w:r>
        <w:rPr>
          <w:rFonts w:hint="eastAsia" w:ascii="仿宋" w:hAnsi="仿宋" w:eastAsia="仿宋" w:cs="Times New Roman"/>
          <w:color w:val="auto"/>
          <w:kern w:val="2"/>
          <w:sz w:val="32"/>
          <w:szCs w:val="32"/>
          <w:lang w:val="en-US" w:eastAsia="zh-CN" w:bidi="ar-SA"/>
        </w:rPr>
        <w:t>召开、审议和表决情况。</w:t>
      </w:r>
      <w:bookmarkEnd w:id="213"/>
    </w:p>
    <w:p>
      <w:pPr>
        <w:widowControl w:val="0"/>
        <w:topLinePunct/>
        <w:adjustRightInd w:val="0"/>
        <w:snapToGrid w:val="0"/>
        <w:spacing w:line="560" w:lineRule="exact"/>
        <w:ind w:firstLine="640" w:firstLineChars="200"/>
        <w:jc w:val="both"/>
        <w:outlineLvl w:val="2"/>
        <w:rPr>
          <w:rFonts w:hint="eastAsia" w:ascii="仿宋" w:hAnsi="仿宋" w:eastAsia="仿宋" w:cs="Times New Roman"/>
          <w:color w:val="000000"/>
          <w:kern w:val="2"/>
          <w:sz w:val="21"/>
          <w:szCs w:val="32"/>
          <w:lang w:val="en-US" w:eastAsia="zh-CN" w:bidi="ar-SA"/>
        </w:rPr>
      </w:pPr>
      <w:bookmarkStart w:id="214" w:name="_Toc12760"/>
      <w:r>
        <w:rPr>
          <w:rFonts w:hint="eastAsia" w:ascii="仿宋" w:hAnsi="仿宋" w:eastAsia="仿宋" w:cs="Times New Roman"/>
          <w:color w:val="000000"/>
          <w:kern w:val="2"/>
          <w:sz w:val="32"/>
          <w:szCs w:val="32"/>
          <w:lang w:val="en-US" w:eastAsia="zh-CN" w:bidi="ar-SA"/>
        </w:rPr>
        <w:t xml:space="preserve">2. </w:t>
      </w:r>
      <w:r>
        <w:rPr>
          <w:rFonts w:hint="eastAsia" w:ascii="仿宋" w:hAnsi="仿宋" w:eastAsia="仿宋" w:cs="Times New Roman"/>
          <w:color w:val="auto"/>
          <w:kern w:val="2"/>
          <w:sz w:val="32"/>
          <w:szCs w:val="32"/>
          <w:lang w:val="en-US" w:eastAsia="zh-CN" w:bidi="ar-SA"/>
        </w:rPr>
        <w:t>说明本次利润分配方案是否尚需提交股东大会审议。</w:t>
      </w:r>
      <w:bookmarkEnd w:id="214"/>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二、利润分配和资本公积金转增股本方案的基本情况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（一）说明本次利润分配和资本公积金转增股本方案的基本内容，至少应当包括：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000000"/>
          <w:sz w:val="32"/>
          <w:szCs w:val="32"/>
        </w:rPr>
        <w:t xml:space="preserve">1. </w:t>
      </w:r>
      <w:r>
        <w:rPr>
          <w:rFonts w:hint="eastAsia" w:ascii="仿宋" w:hAnsi="仿宋" w:eastAsia="仿宋"/>
          <w:sz w:val="32"/>
          <w:szCs w:val="32"/>
          <w:lang w:val="en-US" w:eastAsia="zh-CN"/>
        </w:rPr>
        <w:t>分配基准（XX年度</w:t>
      </w:r>
      <w:r>
        <w:rPr>
          <w:rFonts w:hint="default" w:ascii="仿宋" w:hAnsi="仿宋" w:eastAsia="仿宋"/>
          <w:sz w:val="32"/>
          <w:szCs w:val="32"/>
          <w:lang w:val="en-US" w:eastAsia="zh-CN"/>
        </w:rPr>
        <w:t>/</w:t>
      </w:r>
      <w:r>
        <w:rPr>
          <w:rFonts w:hint="eastAsia" w:ascii="仿宋" w:hAnsi="仿宋" w:eastAsia="仿宋"/>
          <w:sz w:val="32"/>
          <w:szCs w:val="32"/>
          <w:lang w:val="en-US" w:eastAsia="zh-CN"/>
        </w:rPr>
        <w:t>一季度</w:t>
      </w:r>
      <w:r>
        <w:rPr>
          <w:rFonts w:hint="default" w:ascii="仿宋" w:hAnsi="仿宋" w:eastAsia="仿宋"/>
          <w:sz w:val="32"/>
          <w:szCs w:val="32"/>
          <w:lang w:val="en-US" w:eastAsia="zh-CN"/>
        </w:rPr>
        <w:t>/</w:t>
      </w:r>
      <w:r>
        <w:rPr>
          <w:rFonts w:hint="eastAsia" w:ascii="仿宋" w:hAnsi="仿宋" w:eastAsia="仿宋"/>
          <w:sz w:val="32"/>
          <w:szCs w:val="32"/>
          <w:lang w:val="en-US" w:eastAsia="zh-CN"/>
        </w:rPr>
        <w:t>半年度</w:t>
      </w:r>
      <w:r>
        <w:rPr>
          <w:rFonts w:hint="default" w:ascii="仿宋" w:hAnsi="仿宋" w:eastAsia="仿宋"/>
          <w:sz w:val="32"/>
          <w:szCs w:val="32"/>
          <w:lang w:val="en-US" w:eastAsia="zh-CN"/>
        </w:rPr>
        <w:t>/</w:t>
      </w:r>
      <w:r>
        <w:rPr>
          <w:rFonts w:hint="eastAsia" w:ascii="仿宋" w:hAnsi="仿宋" w:eastAsia="仿宋"/>
          <w:sz w:val="32"/>
          <w:szCs w:val="32"/>
          <w:lang w:val="en-US" w:eastAsia="zh-CN"/>
        </w:rPr>
        <w:t>三季度）。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sz w:val="32"/>
          <w:szCs w:val="32"/>
          <w:lang w:val="en-US" w:eastAsia="zh-CN"/>
        </w:rPr>
        <w:t>按照《公司法》和公司章程规定弥补亏损、提取法定公积金、提取任意公积金的情况,报告期末未分配利润金额及股本基数。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 xml:space="preserve">. </w:t>
      </w:r>
      <w:r>
        <w:rPr>
          <w:rFonts w:hint="eastAsia" w:ascii="仿宋" w:hAnsi="仿宋" w:eastAsia="仿宋"/>
          <w:sz w:val="32"/>
          <w:szCs w:val="32"/>
          <w:lang w:val="en-US" w:eastAsia="zh-CN"/>
        </w:rPr>
        <w:t>每10股现金分红、送红股、资本公积金转增股本的比例，及本次预计现金分红总额。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 xml:space="preserve">. </w:t>
      </w:r>
      <w:r>
        <w:rPr>
          <w:rFonts w:hint="eastAsia" w:ascii="仿宋" w:hAnsi="仿宋" w:eastAsia="仿宋"/>
          <w:sz w:val="32"/>
          <w:szCs w:val="32"/>
          <w:lang w:val="en-US" w:eastAsia="zh-CN"/>
        </w:rPr>
        <w:t>上市公司拟实施年度现金分红的，说明下列内容：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sz w:val="32"/>
          <w:szCs w:val="32"/>
          <w:highlight w:val="none"/>
          <w:lang w:val="en-US" w:eastAsia="zh-CN"/>
        </w:rPr>
        <w:t>本年度累计现金分红总额（含年度分红、季度分红、半年报分红、特别分红等）；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sz w:val="32"/>
          <w:szCs w:val="32"/>
          <w:highlight w:val="none"/>
          <w:lang w:val="en-US" w:eastAsia="zh-CN"/>
        </w:rPr>
        <w:t>本年度以现金为对价，采用集中竞价、要约方式实施的股</w:t>
      </w:r>
      <w:r>
        <w:rPr>
          <w:rFonts w:hint="eastAsia" w:ascii="仿宋" w:hAnsi="仿宋" w:eastAsia="仿宋" w:cs="仿宋"/>
          <w:sz w:val="32"/>
          <w:szCs w:val="32"/>
          <w:highlight w:val="none"/>
          <w:lang w:val="en-US" w:eastAsia="zh-CN"/>
        </w:rPr>
        <w:t>份</w:t>
      </w:r>
      <w:r>
        <w:rPr>
          <w:rFonts w:hint="eastAsia" w:ascii="仿宋" w:hAnsi="仿宋" w:eastAsia="仿宋"/>
          <w:sz w:val="32"/>
          <w:szCs w:val="32"/>
          <w:highlight w:val="none"/>
          <w:lang w:val="en-US" w:eastAsia="zh-CN"/>
        </w:rPr>
        <w:t>回购金额；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sz w:val="32"/>
          <w:szCs w:val="32"/>
          <w:highlight w:val="none"/>
          <w:lang w:val="en-US" w:eastAsia="zh-CN"/>
        </w:rPr>
        <w:t>（3）本</w:t>
      </w:r>
      <w:r>
        <w:rPr>
          <w:rFonts w:hint="eastAsia" w:ascii="仿宋" w:hAnsi="仿宋" w:eastAsia="仿宋"/>
          <w:sz w:val="32"/>
          <w:szCs w:val="32"/>
          <w:highlight w:val="none"/>
          <w:lang w:val="en-US" w:eastAsia="zh-CN"/>
        </w:rPr>
        <w:t>年度现金分红和股份回购总额，以及该总额占本年度净利润的比例。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 xml:space="preserve">. </w:t>
      </w:r>
      <w:r>
        <w:rPr>
          <w:rFonts w:hint="eastAsia" w:ascii="仿宋" w:hAnsi="仿宋" w:eastAsia="仿宋"/>
          <w:sz w:val="32"/>
          <w:szCs w:val="32"/>
          <w:lang w:val="en-US" w:eastAsia="zh-CN"/>
        </w:rPr>
        <w:t>上市公司拟实施送红股、资本公积金转增股本的，说明本次送转股后公司总股本情况。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sz w:val="32"/>
          <w:szCs w:val="32"/>
          <w:lang w:val="en-US" w:eastAsia="zh-CN"/>
        </w:rPr>
        <w:t>（二）</w:t>
      </w:r>
      <w:r>
        <w:rPr>
          <w:rFonts w:hint="eastAsia" w:ascii="仿宋" w:hAnsi="仿宋" w:eastAsia="仿宋" w:cs="仿宋"/>
          <w:color w:val="000000"/>
          <w:kern w:val="0"/>
          <w:sz w:val="32"/>
          <w:szCs w:val="32"/>
          <w:lang w:val="en-US" w:eastAsia="zh-CN" w:bidi="ar"/>
        </w:rPr>
        <w:t>说明在利润分配方案公告后至实施前，出现股权激励行权、可转债转股、股份回购等股本总额发生变动情形时的方案调整原则。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三、现金分红方案的具体情况（如适用）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（一）是否可能触及其他风险警示情形（适用于年度分红方案）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color w:val="000000"/>
          <w:sz w:val="32"/>
          <w:szCs w:val="32"/>
        </w:rPr>
        <w:t xml:space="preserve">1. </w:t>
      </w:r>
      <w:r>
        <w:rPr>
          <w:rFonts w:hint="eastAsia" w:ascii="仿宋" w:hAnsi="仿宋" w:eastAsia="仿宋"/>
          <w:sz w:val="32"/>
          <w:szCs w:val="32"/>
          <w:highlight w:val="none"/>
          <w:lang w:val="en-US" w:eastAsia="zh-CN"/>
        </w:rPr>
        <w:t>上市公司披露年度现金分红方案（含不分红）的，应当列示下列指标：</w:t>
      </w:r>
    </w:p>
    <w:tbl>
      <w:tblPr>
        <w:tblStyle w:val="59"/>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196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 w:val="24"/>
              </w:rPr>
            </w:pPr>
            <w:r>
              <w:rPr>
                <w:rFonts w:hint="eastAsia" w:ascii="仿宋" w:hAnsi="仿宋" w:eastAsia="仿宋"/>
                <w:b/>
                <w:bCs/>
                <w:color w:val="000000"/>
                <w:sz w:val="24"/>
              </w:rPr>
              <w:t>项目</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本年度</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上年度</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上上年度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现金分红总额（元）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1</w:t>
            </w:r>
            <w:r>
              <w:rPr>
                <w:rFonts w:hint="eastAsia" w:ascii="仿宋" w:hAnsi="仿宋" w:eastAsia="仿宋"/>
                <w:sz w:val="24"/>
                <w:szCs w:val="24"/>
                <w:lang w:eastAsia="zh-CN"/>
              </w:rPr>
              <w:t>（预计数）</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2</w:t>
            </w:r>
            <w:r>
              <w:rPr>
                <w:rFonts w:hint="eastAsia" w:ascii="仿宋" w:hAnsi="仿宋" w:eastAsia="仿宋"/>
                <w:sz w:val="24"/>
                <w:szCs w:val="24"/>
                <w:lang w:eastAsia="zh-CN"/>
              </w:rPr>
              <w:t>（实施数）</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olor w:val="000000"/>
                <w:sz w:val="24"/>
                <w:lang w:eastAsia="zh-CN"/>
              </w:rPr>
            </w:pP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3</w:t>
            </w:r>
            <w:r>
              <w:rPr>
                <w:rFonts w:hint="eastAsia" w:ascii="仿宋" w:hAnsi="仿宋" w:eastAsia="仿宋"/>
                <w:sz w:val="24"/>
                <w:szCs w:val="24"/>
                <w:lang w:eastAsia="zh-CN"/>
              </w:rPr>
              <w:t>（实施数）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回购注销总额（元）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b</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sz w:val="24"/>
                <w:szCs w:val="24"/>
                <w:lang w:val="en-US" w:eastAsia="zh-CN"/>
              </w:rPr>
            </w:pPr>
            <w:r>
              <w:rPr>
                <w:rFonts w:hint="eastAsia" w:ascii="仿宋" w:hAnsi="仿宋" w:eastAsia="仿宋"/>
                <w:color w:val="000000"/>
                <w:sz w:val="22"/>
                <w:szCs w:val="21"/>
                <w:vertAlign w:val="baseline"/>
                <w:lang w:val="en-US" w:eastAsia="zh-CN"/>
              </w:rPr>
              <w:t xml:space="preserve"> b</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sz w:val="24"/>
                <w:szCs w:val="24"/>
                <w:lang w:val="en-US" w:eastAsia="zh-CN"/>
              </w:rPr>
            </w:pPr>
            <w:r>
              <w:rPr>
                <w:rFonts w:hint="eastAsia" w:ascii="仿宋" w:hAnsi="仿宋" w:eastAsia="仿宋"/>
                <w:color w:val="000000"/>
                <w:sz w:val="22"/>
                <w:szCs w:val="21"/>
                <w:vertAlign w:val="baseline"/>
                <w:lang w:val="en-US" w:eastAsia="zh-CN"/>
              </w:rPr>
              <w:t xml:space="preserve"> b</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rPr>
              <w:t>归属于上市公司股东的净利润</w:t>
            </w:r>
            <w:r>
              <w:rPr>
                <w:rFonts w:hint="eastAsia" w:ascii="仿宋" w:hAnsi="仿宋" w:eastAsia="仿宋"/>
                <w:color w:val="000000"/>
                <w:sz w:val="24"/>
                <w:lang w:eastAsia="zh-CN"/>
              </w:rPr>
              <w:t>（元）</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 xml:space="preserve"> c</w:t>
            </w:r>
            <w:r>
              <w:rPr>
                <w:rFonts w:hint="eastAsia" w:ascii="仿宋" w:hAnsi="仿宋" w:eastAsia="仿宋"/>
                <w:color w:val="000000"/>
                <w:sz w:val="22"/>
                <w:szCs w:val="21"/>
                <w:vertAlign w:val="subscript"/>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2"/>
                <w:szCs w:val="21"/>
                <w:vertAlign w:val="baseline"/>
                <w:lang w:val="en-US" w:eastAsia="zh-CN"/>
              </w:rPr>
              <w:t xml:space="preserve"> c</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合并报表本年度末累计未分配利润（元）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母公司报表本年度末累计未分配利润（元）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上市是否满三个</w:t>
            </w:r>
          </w:p>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完整会计年度</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eastAsia="zh-CN"/>
              </w:rPr>
              <w:t>是</w:t>
            </w:r>
            <w:r>
              <w:rPr>
                <w:rFonts w:hint="eastAsia" w:ascii="仿宋" w:hAnsi="仿宋" w:eastAsia="仿宋"/>
                <w:color w:val="000000"/>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lang w:eastAsia="zh-CN"/>
              </w:rPr>
            </w:pPr>
            <w:r>
              <w:rPr>
                <w:rFonts w:hint="eastAsia" w:ascii="仿宋" w:hAnsi="仿宋" w:eastAsia="仿宋"/>
                <w:color w:val="000000"/>
                <w:sz w:val="24"/>
                <w:lang w:eastAsia="zh-CN"/>
              </w:rPr>
              <w:t>最近三个会计年度累计现金分红总额（元）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A=</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1</w:t>
            </w:r>
            <w:r>
              <w:rPr>
                <w:rFonts w:hint="eastAsia" w:ascii="仿宋" w:hAnsi="仿宋" w:eastAsia="仿宋"/>
                <w:color w:val="000000"/>
                <w:sz w:val="24"/>
                <w:lang w:val="en-US" w:eastAsia="zh-CN"/>
              </w:rPr>
              <w:t>+</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2</w:t>
            </w:r>
            <w:r>
              <w:rPr>
                <w:rFonts w:hint="eastAsia" w:ascii="仿宋" w:hAnsi="仿宋" w:eastAsia="仿宋"/>
                <w:color w:val="000000"/>
                <w:sz w:val="24"/>
                <w:lang w:val="en-US" w:eastAsia="zh-CN"/>
              </w:rPr>
              <w:t>+</w:t>
            </w:r>
            <w:r>
              <w:rPr>
                <w:rFonts w:hint="eastAsia" w:ascii="仿宋" w:hAnsi="仿宋" w:eastAsia="仿宋"/>
                <w:sz w:val="24"/>
                <w:szCs w:val="24"/>
                <w:lang w:val="en-US" w:eastAsia="zh-CN"/>
              </w:rPr>
              <w:t>a</w:t>
            </w:r>
            <w:r>
              <w:rPr>
                <w:rFonts w:hint="eastAsia" w:ascii="仿宋" w:hAnsi="仿宋" w:eastAsia="仿宋"/>
                <w:sz w:val="24"/>
                <w:szCs w:val="24"/>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sz w:val="24"/>
              </w:rPr>
            </w:pPr>
            <w:r>
              <w:rPr>
                <w:rFonts w:hint="eastAsia" w:ascii="仿宋" w:hAnsi="仿宋" w:eastAsia="仿宋"/>
                <w:color w:val="000000"/>
                <w:sz w:val="24"/>
                <w:lang w:eastAsia="zh-CN"/>
              </w:rPr>
              <w:t>最近三个会计年度累计回购注销总额</w:t>
            </w:r>
            <w:r>
              <w:rPr>
                <w:rFonts w:hint="eastAsia" w:ascii="仿宋" w:hAnsi="仿宋" w:eastAsia="仿宋" w:cs="Times New Roman"/>
                <w:color w:val="000000"/>
                <w:sz w:val="24"/>
                <w:lang w:eastAsia="zh-CN"/>
              </w:rPr>
              <w:t>（元）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B=b</w:t>
            </w:r>
            <w:r>
              <w:rPr>
                <w:rFonts w:hint="eastAsia" w:ascii="仿宋" w:hAnsi="仿宋" w:eastAsia="仿宋"/>
                <w:color w:val="000000"/>
                <w:sz w:val="22"/>
                <w:szCs w:val="21"/>
                <w:vertAlign w:val="subscript"/>
                <w:lang w:val="en-US" w:eastAsia="zh-CN"/>
              </w:rPr>
              <w:t>1</w:t>
            </w: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2</w:t>
            </w:r>
            <w:r>
              <w:rPr>
                <w:rFonts w:hint="eastAsia" w:ascii="仿宋" w:hAnsi="仿宋" w:eastAsia="仿宋"/>
                <w:color w:val="000000"/>
                <w:sz w:val="22"/>
                <w:szCs w:val="21"/>
                <w:vertAlign w:val="baseline"/>
                <w:lang w:val="en-US" w:eastAsia="zh-CN"/>
              </w:rPr>
              <w:t>+b</w:t>
            </w:r>
            <w:r>
              <w:rPr>
                <w:rFonts w:hint="eastAsia" w:ascii="仿宋" w:hAnsi="仿宋" w:eastAsia="仿宋"/>
                <w:color w:val="000000"/>
                <w:sz w:val="22"/>
                <w:szCs w:val="21"/>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Times New Roman"/>
                <w:color w:val="000000"/>
                <w:sz w:val="24"/>
                <w:lang w:eastAsia="zh-CN"/>
              </w:rPr>
            </w:pPr>
            <w:r>
              <w:rPr>
                <w:rFonts w:hint="eastAsia" w:ascii="仿宋" w:hAnsi="仿宋" w:eastAsia="仿宋"/>
                <w:color w:val="000000"/>
                <w:sz w:val="24"/>
                <w:lang w:eastAsia="zh-CN"/>
              </w:rPr>
              <w:t>最近三个会计年度平均净利润（元）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C=(</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1</w:t>
            </w:r>
            <w:r>
              <w:rPr>
                <w:rFonts w:hint="eastAsia" w:ascii="仿宋" w:hAnsi="仿宋" w:eastAsia="仿宋"/>
                <w:color w:val="000000"/>
                <w:sz w:val="24"/>
                <w:lang w:val="en-US" w:eastAsia="zh-CN"/>
              </w:rPr>
              <w:t>+</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2</w:t>
            </w:r>
            <w:r>
              <w:rPr>
                <w:rFonts w:hint="eastAsia" w:ascii="仿宋" w:hAnsi="仿宋" w:eastAsia="仿宋"/>
                <w:color w:val="000000"/>
                <w:sz w:val="24"/>
                <w:lang w:val="en-US" w:eastAsia="zh-CN"/>
              </w:rPr>
              <w:t>+</w:t>
            </w:r>
            <w:r>
              <w:rPr>
                <w:rFonts w:hint="eastAsia" w:ascii="仿宋" w:hAnsi="仿宋" w:eastAsia="仿宋"/>
                <w:color w:val="000000"/>
                <w:sz w:val="22"/>
                <w:szCs w:val="21"/>
                <w:vertAlign w:val="baseline"/>
                <w:lang w:val="en-US" w:eastAsia="zh-CN"/>
              </w:rPr>
              <w:t>c</w:t>
            </w:r>
            <w:r>
              <w:rPr>
                <w:rFonts w:hint="eastAsia" w:ascii="仿宋" w:hAnsi="仿宋" w:eastAsia="仿宋"/>
                <w:color w:val="000000"/>
                <w:sz w:val="22"/>
                <w:szCs w:val="21"/>
                <w:vertAlign w:val="subscript"/>
                <w:lang w:val="en-US" w:eastAsia="zh-CN"/>
              </w:rPr>
              <w:t>3</w:t>
            </w: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r>
              <w:rPr>
                <w:rFonts w:hint="eastAsia" w:ascii="仿宋" w:hAnsi="仿宋" w:eastAsia="仿宋" w:cs="Times New Roman"/>
                <w:color w:val="000000"/>
                <w:sz w:val="24"/>
                <w:lang w:eastAsia="zh-CN"/>
              </w:rPr>
              <w:t>最近三个会计年度累计现</w:t>
            </w:r>
            <w:r>
              <w:rPr>
                <w:rFonts w:hint="eastAsia" w:ascii="仿宋" w:hAnsi="仿宋" w:eastAsia="仿宋" w:cs="Times New Roman"/>
                <w:color w:val="000000"/>
                <w:sz w:val="24"/>
                <w:lang w:val="en-US" w:eastAsia="zh-CN"/>
              </w:rPr>
              <w:t>金分红及回购注销总额</w:t>
            </w:r>
            <w:r>
              <w:rPr>
                <w:rFonts w:hint="eastAsia" w:ascii="仿宋" w:hAnsi="仿宋" w:eastAsia="仿宋" w:cs="Times New Roman"/>
                <w:color w:val="000000"/>
                <w:sz w:val="24"/>
                <w:lang w:eastAsia="zh-CN"/>
              </w:rPr>
              <w:t>（元）</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D=A+B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24"/>
                <w:lang w:eastAsia="zh-CN"/>
              </w:rPr>
            </w:pPr>
            <w:r>
              <w:rPr>
                <w:rFonts w:hint="eastAsia" w:ascii="仿宋" w:hAnsi="仿宋" w:eastAsia="仿宋"/>
                <w:b/>
                <w:bCs/>
                <w:color w:val="000000"/>
                <w:sz w:val="24"/>
                <w:lang w:eastAsia="zh-CN"/>
              </w:rPr>
              <w:t>是否触及《股票上市规则》第</w:t>
            </w:r>
            <w:r>
              <w:rPr>
                <w:rFonts w:hint="eastAsia" w:ascii="仿宋" w:hAnsi="仿宋" w:eastAsia="仿宋"/>
                <w:b/>
                <w:bCs/>
                <w:color w:val="000000"/>
                <w:sz w:val="24"/>
                <w:lang w:val="en-US" w:eastAsia="zh-CN"/>
              </w:rPr>
              <w:t>9.8.1条第（九）项</w:t>
            </w:r>
            <w:r>
              <w:rPr>
                <w:rFonts w:hint="eastAsia" w:ascii="仿宋" w:hAnsi="仿宋" w:eastAsia="仿宋"/>
                <w:b/>
                <w:bCs/>
                <w:color w:val="000000"/>
                <w:sz w:val="24"/>
                <w:lang w:eastAsia="zh-CN"/>
              </w:rPr>
              <w:t>规定的可能被实施其他风险警示情形</w:t>
            </w:r>
          </w:p>
        </w:tc>
        <w:tc>
          <w:tcPr>
            <w:tcW w:w="5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b/>
                <w:bCs/>
                <w:lang w:val="en-US" w:eastAsia="zh-CN"/>
              </w:rPr>
            </w:pPr>
            <w:r>
              <w:rPr>
                <w:rFonts w:hint="eastAsia" w:ascii="仿宋" w:hAnsi="仿宋" w:eastAsia="仿宋"/>
                <w:b/>
                <w:bCs/>
                <w:color w:val="000000"/>
                <w:sz w:val="24"/>
                <w:lang w:eastAsia="zh-CN"/>
              </w:rPr>
              <w:t>是</w:t>
            </w:r>
            <w:r>
              <w:rPr>
                <w:rFonts w:hint="eastAsia" w:ascii="仿宋" w:hAnsi="仿宋" w:eastAsia="仿宋"/>
                <w:b/>
                <w:bCs/>
                <w:color w:val="000000"/>
                <w:sz w:val="24"/>
                <w:lang w:val="en-US" w:eastAsia="zh-CN"/>
              </w:rPr>
              <w:t>/否</w:t>
            </w:r>
          </w:p>
        </w:tc>
      </w:tr>
    </w:tbl>
    <w:p>
      <w:pPr>
        <w:spacing w:line="240" w:lineRule="auto"/>
        <w:ind w:firstLine="480" w:firstLineChars="200"/>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rPr>
        <w:t>注：1．</w:t>
      </w:r>
      <w:r>
        <w:rPr>
          <w:rFonts w:hint="eastAsia" w:ascii="仿宋_GB2312" w:hAnsi="宋体" w:eastAsia="仿宋_GB2312" w:cs="宋体"/>
          <w:kern w:val="0"/>
          <w:sz w:val="24"/>
          <w:szCs w:val="24"/>
          <w:lang w:eastAsia="zh-CN"/>
        </w:rPr>
        <w:t>填报</w:t>
      </w:r>
      <w:r>
        <w:rPr>
          <w:rFonts w:hint="eastAsia" w:ascii="仿宋_GB2312" w:hAnsi="宋体" w:eastAsia="仿宋_GB2312" w:cs="宋体"/>
          <w:kern w:val="0"/>
          <w:sz w:val="24"/>
          <w:szCs w:val="24"/>
        </w:rPr>
        <w:t>前述指标时，净利润为负值的年份包</w:t>
      </w:r>
      <w:r>
        <w:rPr>
          <w:rFonts w:hint="eastAsia" w:ascii="仿宋_GB2312" w:hAnsi="宋体" w:eastAsia="仿宋_GB2312" w:cs="宋体"/>
          <w:kern w:val="0"/>
          <w:sz w:val="24"/>
          <w:szCs w:val="24"/>
          <w:highlight w:val="none"/>
        </w:rPr>
        <w:t>含在内。</w:t>
      </w:r>
      <w:r>
        <w:rPr>
          <w:rFonts w:hint="eastAsia" w:ascii="仿宋_GB2312" w:hAnsi="宋体" w:eastAsia="仿宋_GB2312" w:cs="宋体"/>
          <w:kern w:val="0"/>
          <w:sz w:val="24"/>
          <w:szCs w:val="24"/>
          <w:highlight w:val="none"/>
          <w:lang w:eastAsia="zh-CN"/>
        </w:rPr>
        <w:t>如公司上市未满三个完整会计年度，仅需填报上市后数据。</w:t>
      </w:r>
    </w:p>
    <w:p>
      <w:pPr>
        <w:spacing w:line="240" w:lineRule="auto"/>
        <w:ind w:firstLine="960" w:firstLineChars="400"/>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w:t>
      </w:r>
      <w:r>
        <w:rPr>
          <w:rFonts w:hint="eastAsia" w:ascii="仿宋_GB2312" w:hAnsi="宋体" w:eastAsia="仿宋_GB2312" w:cs="宋体"/>
          <w:kern w:val="0"/>
          <w:sz w:val="24"/>
          <w:szCs w:val="24"/>
          <w:lang w:eastAsia="zh-CN"/>
        </w:rPr>
        <w:t>回购注销金额是指上市公司</w:t>
      </w:r>
      <w:r>
        <w:rPr>
          <w:rFonts w:hint="eastAsia" w:ascii="仿宋_GB2312" w:hAnsi="宋体" w:eastAsia="仿宋_GB2312" w:cs="宋体"/>
          <w:kern w:val="0"/>
          <w:sz w:val="24"/>
          <w:szCs w:val="24"/>
        </w:rPr>
        <w:t>采用集中竞价、要约方式实施回购股份并完成注销的金额</w:t>
      </w: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如公司已明确回购注销金额的，应当提供合理确认依据；未明确的，回购注销金额计算方式为：已回购资金总额除以回购股份数量，乘以该会计年度内注销股数。回购注销完成时点，以公司公告披露的股份注销日期为准</w:t>
      </w:r>
      <w:r>
        <w:rPr>
          <w:rFonts w:hint="eastAsia" w:ascii="仿宋_GB2312" w:hAnsi="宋体" w:eastAsia="仿宋_GB2312" w:cs="宋体"/>
          <w:kern w:val="0"/>
          <w:sz w:val="24"/>
          <w:szCs w:val="24"/>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Times New Roman"/>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cs="仿宋"/>
          <w:color w:val="000000"/>
          <w:kern w:val="0"/>
          <w:sz w:val="32"/>
          <w:szCs w:val="32"/>
          <w:lang w:val="en-US" w:eastAsia="zh-CN" w:bidi="ar"/>
        </w:rPr>
        <w:t>上市公司应当结合上述指标，对照本所《股票上市规则》说明是否触及其他风险警示情形及具体原因。触及其他风险警示情形的，应当同时披露公司股票交易可能被实施其他风险警示的风险提示公告，</w:t>
      </w:r>
      <w:r>
        <w:rPr>
          <w:rFonts w:hint="default" w:ascii="仿宋" w:hAnsi="仿宋" w:eastAsia="仿宋" w:cs="仿宋"/>
          <w:color w:val="000000"/>
          <w:kern w:val="0"/>
          <w:sz w:val="32"/>
          <w:szCs w:val="32"/>
          <w:lang w:val="en-US" w:eastAsia="zh-CN" w:bidi="ar"/>
        </w:rPr>
        <w:t>并在相应股东大会审议通过年度利润分配方案之日，披露公司股票交易被实施</w:t>
      </w:r>
      <w:r>
        <w:rPr>
          <w:rFonts w:hint="eastAsia" w:ascii="仿宋" w:hAnsi="仿宋" w:eastAsia="仿宋" w:cs="仿宋"/>
          <w:color w:val="000000"/>
          <w:kern w:val="0"/>
          <w:sz w:val="32"/>
          <w:szCs w:val="32"/>
          <w:lang w:val="en-US" w:eastAsia="zh-CN" w:bidi="ar"/>
        </w:rPr>
        <w:t>其</w:t>
      </w:r>
      <w:r>
        <w:rPr>
          <w:rFonts w:hint="default" w:ascii="仿宋" w:hAnsi="仿宋" w:eastAsia="仿宋" w:cs="仿宋"/>
          <w:color w:val="000000"/>
          <w:kern w:val="0"/>
          <w:sz w:val="32"/>
          <w:szCs w:val="32"/>
          <w:lang w:val="en-US" w:eastAsia="zh-CN" w:bidi="ar"/>
        </w:rPr>
        <w:t>他风险警示</w:t>
      </w:r>
      <w:r>
        <w:rPr>
          <w:rFonts w:hint="eastAsia" w:ascii="仿宋" w:hAnsi="仿宋" w:eastAsia="仿宋" w:cs="仿宋"/>
          <w:color w:val="000000"/>
          <w:kern w:val="0"/>
          <w:sz w:val="32"/>
          <w:szCs w:val="32"/>
          <w:lang w:val="en-US" w:eastAsia="zh-CN" w:bidi="ar"/>
        </w:rPr>
        <w:t>的</w:t>
      </w:r>
      <w:r>
        <w:rPr>
          <w:rFonts w:hint="default" w:ascii="仿宋" w:hAnsi="仿宋" w:eastAsia="仿宋" w:cs="仿宋"/>
          <w:color w:val="000000"/>
          <w:kern w:val="0"/>
          <w:sz w:val="32"/>
          <w:szCs w:val="32"/>
          <w:lang w:val="en-US" w:eastAsia="zh-CN" w:bidi="ar"/>
        </w:rPr>
        <w:t>公告</w:t>
      </w:r>
      <w:r>
        <w:rPr>
          <w:rFonts w:hint="eastAsia" w:ascii="仿宋" w:hAnsi="仿宋" w:eastAsia="仿宋" w:cs="仿宋"/>
          <w:color w:val="000000"/>
          <w:kern w:val="0"/>
          <w:sz w:val="32"/>
          <w:szCs w:val="32"/>
          <w:lang w:val="en-US" w:eastAsia="zh-CN" w:bidi="ar"/>
        </w:rPr>
        <w:t>。</w:t>
      </w:r>
    </w:p>
    <w:p>
      <w:pPr>
        <w:numPr>
          <w:ilvl w:val="0"/>
          <w:numId w:val="0"/>
        </w:numPr>
        <w:tabs>
          <w:tab w:val="left" w:pos="900"/>
        </w:tabs>
        <w:spacing w:line="560" w:lineRule="exact"/>
        <w:ind w:left="630" w:leftChars="0"/>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（二）现金分红方案合理性说明</w:t>
      </w:r>
    </w:p>
    <w:p>
      <w:pPr>
        <w:numPr>
          <w:ilvl w:val="0"/>
          <w:numId w:val="0"/>
        </w:numPr>
        <w:tabs>
          <w:tab w:val="left" w:pos="900"/>
        </w:tabs>
        <w:spacing w:line="56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上市公司应当结合行业特点、发展阶段、自身经营模式、盈利水平、偿债能力、是否有重大资金支出安排以及投资者回报等因素，说明现金分红方案的合理性，是否符合公司章程规定的利润分配政策和公司已披露的股东回报规划。</w:t>
      </w:r>
    </w:p>
    <w:p>
      <w:pPr>
        <w:numPr>
          <w:ilvl w:val="0"/>
          <w:numId w:val="0"/>
        </w:numPr>
        <w:tabs>
          <w:tab w:val="left" w:pos="900"/>
        </w:tabs>
        <w:spacing w:line="56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上市公司还应当对照本所《上市公司自律监管指引第1号——主板上市公司规范运作》的相关规定，对现金分红方案的合理性作进一步说明：</w:t>
      </w:r>
    </w:p>
    <w:p>
      <w:pPr>
        <w:numPr>
          <w:ilvl w:val="0"/>
          <w:numId w:val="0"/>
        </w:numPr>
        <w:tabs>
          <w:tab w:val="left" w:pos="900"/>
        </w:tabs>
        <w:spacing w:line="560" w:lineRule="exact"/>
        <w:ind w:firstLine="640" w:firstLineChars="200"/>
        <w:rPr>
          <w:rFonts w:ascii="仿宋" w:hAnsi="仿宋" w:eastAsia="仿宋"/>
          <w:b w:val="0"/>
          <w:bCs w:val="0"/>
          <w:color w:val="000000"/>
          <w:sz w:val="32"/>
          <w:szCs w:val="32"/>
        </w:rPr>
      </w:pPr>
      <w:r>
        <w:rPr>
          <w:rFonts w:hint="eastAsia" w:ascii="仿宋" w:hAnsi="仿宋" w:eastAsia="仿宋"/>
          <w:color w:val="000000"/>
          <w:sz w:val="32"/>
          <w:szCs w:val="32"/>
        </w:rPr>
        <w:t xml:space="preserve">1. </w:t>
      </w:r>
      <w:r>
        <w:rPr>
          <w:rFonts w:hint="eastAsia" w:ascii="仿宋" w:hAnsi="仿宋" w:eastAsia="仿宋"/>
          <w:b w:val="0"/>
          <w:bCs w:val="0"/>
          <w:color w:val="000000"/>
          <w:sz w:val="32"/>
          <w:szCs w:val="32"/>
        </w:rPr>
        <w:t>上市公司合并资产负债表、母公司资产负债表中本年末未分配利润均为正值且报告期内盈利，不进行现金分红或者现金分红总额低于当年净利润30%的，</w:t>
      </w:r>
      <w:r>
        <w:rPr>
          <w:rFonts w:hint="eastAsia" w:ascii="仿宋" w:hAnsi="仿宋" w:eastAsia="仿宋"/>
          <w:b w:val="0"/>
          <w:bCs w:val="0"/>
          <w:color w:val="000000"/>
          <w:sz w:val="32"/>
          <w:szCs w:val="32"/>
          <w:lang w:eastAsia="zh-CN"/>
        </w:rPr>
        <w:t>披露下列</w:t>
      </w:r>
      <w:r>
        <w:rPr>
          <w:rFonts w:hint="eastAsia" w:ascii="仿宋" w:hAnsi="仿宋" w:eastAsia="仿宋"/>
          <w:b w:val="0"/>
          <w:bCs w:val="0"/>
          <w:color w:val="000000"/>
          <w:sz w:val="32"/>
          <w:szCs w:val="32"/>
        </w:rPr>
        <w:t>内容：</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（1）</w:t>
      </w:r>
      <w:r>
        <w:rPr>
          <w:rFonts w:hint="eastAsia" w:ascii="仿宋" w:hAnsi="仿宋" w:eastAsia="仿宋"/>
          <w:b w:val="0"/>
          <w:bCs w:val="0"/>
          <w:color w:val="000000"/>
          <w:sz w:val="32"/>
          <w:szCs w:val="32"/>
          <w:lang w:eastAsia="zh-CN"/>
        </w:rPr>
        <w:t>结合</w:t>
      </w:r>
      <w:r>
        <w:rPr>
          <w:rFonts w:hint="eastAsia" w:ascii="仿宋" w:hAnsi="仿宋" w:eastAsia="仿宋"/>
          <w:b w:val="0"/>
          <w:bCs w:val="0"/>
          <w:color w:val="000000"/>
          <w:sz w:val="32"/>
          <w:szCs w:val="32"/>
        </w:rPr>
        <w:t>所处行业特点、发展阶段、自身经营模式、盈利水平、偿债能力、资金需求等因素，</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不进行现金分红或者现金分红水平较低的原因；</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（2）</w:t>
      </w:r>
      <w:r>
        <w:rPr>
          <w:rFonts w:hint="eastAsia" w:ascii="仿宋" w:hAnsi="仿宋" w:eastAsia="仿宋"/>
          <w:b w:val="0"/>
          <w:bCs w:val="0"/>
          <w:color w:val="000000"/>
          <w:sz w:val="32"/>
          <w:szCs w:val="32"/>
        </w:rPr>
        <w:t>留存未分配利润的预计用途以及收益情况；</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（3）</w:t>
      </w:r>
      <w:r>
        <w:rPr>
          <w:rFonts w:hint="eastAsia" w:ascii="仿宋" w:hAnsi="仿宋" w:eastAsia="仿宋"/>
          <w:b w:val="0"/>
          <w:bCs w:val="0"/>
          <w:color w:val="000000"/>
          <w:sz w:val="32"/>
          <w:szCs w:val="32"/>
        </w:rPr>
        <w:t>公司在相应期间是否按照中国证监会相关规定为中小股东参与现金分红决策提供了便利；</w:t>
      </w:r>
    </w:p>
    <w:p>
      <w:pPr>
        <w:spacing w:line="56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（4）</w:t>
      </w:r>
      <w:r>
        <w:rPr>
          <w:rFonts w:hint="eastAsia" w:ascii="仿宋" w:hAnsi="仿宋" w:eastAsia="仿宋"/>
          <w:b w:val="0"/>
          <w:bCs w:val="0"/>
          <w:color w:val="000000"/>
          <w:sz w:val="32"/>
          <w:szCs w:val="32"/>
        </w:rPr>
        <w:t>公司为增强投资者回报水平拟采取的措施。</w:t>
      </w:r>
    </w:p>
    <w:p>
      <w:pPr>
        <w:spacing w:line="560" w:lineRule="exact"/>
        <w:ind w:firstLine="640" w:firstLineChars="200"/>
        <w:rPr>
          <w:rFonts w:hint="eastAsia" w:ascii="仿宋" w:hAnsi="仿宋" w:eastAsia="仿宋"/>
          <w:b w:val="0"/>
          <w:bCs w:val="0"/>
          <w:color w:val="000000"/>
          <w:sz w:val="32"/>
          <w:szCs w:val="32"/>
        </w:rPr>
      </w:pPr>
      <w:r>
        <w:rPr>
          <w:rFonts w:hint="eastAsia" w:ascii="仿宋" w:hAnsi="仿宋" w:eastAsia="仿宋" w:cs="Times New Roman"/>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b w:val="0"/>
          <w:bCs w:val="0"/>
          <w:color w:val="000000"/>
          <w:sz w:val="32"/>
          <w:szCs w:val="32"/>
          <w:lang w:val="en-US" w:eastAsia="zh-CN"/>
        </w:rPr>
        <w:t>上市公司</w:t>
      </w:r>
      <w:r>
        <w:rPr>
          <w:rFonts w:hint="eastAsia" w:ascii="仿宋" w:hAnsi="仿宋" w:eastAsia="仿宋"/>
          <w:b w:val="0"/>
          <w:bCs w:val="0"/>
          <w:color w:val="000000"/>
          <w:sz w:val="32"/>
          <w:szCs w:val="32"/>
        </w:rPr>
        <w:t>母公司资产负债表中未分配利润为负值但合并资产负债表中未分配利润为正值的，</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控股子公司向母公司实施利润分配的情况，以及公司为增强投资者回报水平拟采取的措施。</w:t>
      </w:r>
    </w:p>
    <w:p>
      <w:pPr>
        <w:spacing w:line="560" w:lineRule="exact"/>
        <w:ind w:firstLine="640" w:firstLineChars="200"/>
        <w:rPr>
          <w:rFonts w:hint="eastAsia" w:ascii="仿宋" w:hAnsi="仿宋" w:eastAsia="仿宋"/>
          <w:b w:val="0"/>
          <w:bCs w:val="0"/>
          <w:color w:val="000000"/>
          <w:sz w:val="32"/>
          <w:szCs w:val="32"/>
          <w:lang w:eastAsia="zh-CN"/>
        </w:rPr>
      </w:pPr>
      <w:r>
        <w:rPr>
          <w:rFonts w:hint="eastAsia" w:ascii="仿宋" w:hAnsi="仿宋" w:eastAsia="仿宋" w:cs="Times New Roman"/>
          <w:color w:val="000000"/>
          <w:sz w:val="32"/>
          <w:szCs w:val="32"/>
          <w:lang w:val="en-US" w:eastAsia="zh-CN"/>
        </w:rPr>
        <w:t>3</w:t>
      </w:r>
      <w:r>
        <w:rPr>
          <w:rFonts w:hint="eastAsia" w:ascii="仿宋" w:hAnsi="仿宋" w:eastAsia="仿宋"/>
          <w:color w:val="000000"/>
          <w:sz w:val="32"/>
          <w:szCs w:val="32"/>
        </w:rPr>
        <w:t xml:space="preserve">. </w:t>
      </w:r>
      <w:r>
        <w:rPr>
          <w:rFonts w:hint="eastAsia" w:ascii="仿宋" w:hAnsi="仿宋" w:eastAsia="仿宋"/>
          <w:b w:val="0"/>
          <w:bCs w:val="0"/>
          <w:color w:val="000000"/>
          <w:sz w:val="32"/>
          <w:szCs w:val="32"/>
          <w:lang w:val="en-US" w:eastAsia="zh-CN"/>
        </w:rPr>
        <w:t>非金融业上市公司</w:t>
      </w:r>
      <w:r>
        <w:rPr>
          <w:rFonts w:hint="eastAsia" w:ascii="仿宋" w:hAnsi="仿宋" w:eastAsia="仿宋"/>
          <w:b w:val="0"/>
          <w:bCs w:val="0"/>
          <w:color w:val="000000"/>
          <w:sz w:val="32"/>
          <w:szCs w:val="32"/>
        </w:rPr>
        <w:t>合并资产负债表、母公司资产负债表中本年末未分配利润均为正值且报告期内盈利</w:t>
      </w:r>
      <w:r>
        <w:rPr>
          <w:rFonts w:hint="eastAsia" w:ascii="仿宋" w:hAnsi="仿宋" w:eastAsia="仿宋"/>
          <w:b w:val="0"/>
          <w:bCs w:val="0"/>
          <w:color w:val="000000"/>
          <w:sz w:val="32"/>
          <w:szCs w:val="32"/>
          <w:lang w:eastAsia="zh-CN"/>
        </w:rPr>
        <w:t>的，说明最近两个会计年度</w:t>
      </w:r>
      <w:r>
        <w:rPr>
          <w:rFonts w:hint="eastAsia" w:ascii="仿宋" w:hAnsi="仿宋" w:eastAsia="仿宋"/>
          <w:b w:val="0"/>
          <w:bCs w:val="0"/>
          <w:color w:val="000000"/>
          <w:sz w:val="32"/>
          <w:szCs w:val="32"/>
        </w:rPr>
        <w:t>经审计的交易性金融资产、衍生金融资产（套期保值工具除外）、债权投资、其他债权投资、其他权益工具投资、其他非流动金融资产、其他流动资产（待抵扣增值税、预缴税费、合同取得成本等与经营活动相关的资产除外）等财务报表项目核算及列报</w:t>
      </w:r>
      <w:r>
        <w:rPr>
          <w:rFonts w:hint="eastAsia" w:ascii="仿宋" w:hAnsi="仿宋" w:eastAsia="仿宋"/>
          <w:b w:val="0"/>
          <w:bCs w:val="0"/>
          <w:color w:val="000000"/>
          <w:sz w:val="32"/>
          <w:szCs w:val="32"/>
          <w:lang w:eastAsia="zh-CN"/>
        </w:rPr>
        <w:t>合计</w:t>
      </w:r>
      <w:r>
        <w:rPr>
          <w:rFonts w:hint="eastAsia" w:ascii="仿宋" w:hAnsi="仿宋" w:eastAsia="仿宋"/>
          <w:b w:val="0"/>
          <w:bCs w:val="0"/>
          <w:color w:val="000000"/>
          <w:sz w:val="32"/>
          <w:szCs w:val="32"/>
        </w:rPr>
        <w:t>金额</w:t>
      </w:r>
      <w:r>
        <w:rPr>
          <w:rFonts w:hint="eastAsia" w:ascii="仿宋" w:hAnsi="仿宋" w:eastAsia="仿宋"/>
          <w:b w:val="0"/>
          <w:bCs w:val="0"/>
          <w:color w:val="000000"/>
          <w:sz w:val="32"/>
          <w:szCs w:val="32"/>
          <w:lang w:eastAsia="zh-CN"/>
        </w:rPr>
        <w:t>以及其占总资产的比例。</w:t>
      </w:r>
    </w:p>
    <w:p>
      <w:pPr>
        <w:spacing w:line="560" w:lineRule="exact"/>
        <w:ind w:firstLine="640" w:firstLineChars="200"/>
        <w:rPr>
          <w:rFonts w:hint="eastAsia" w:ascii="仿宋" w:hAnsi="仿宋" w:eastAsia="仿宋"/>
          <w:b w:val="0"/>
          <w:bCs w:val="0"/>
          <w:color w:val="000000"/>
          <w:sz w:val="32"/>
          <w:szCs w:val="32"/>
          <w:lang w:eastAsia="zh-CN"/>
        </w:rPr>
      </w:pPr>
      <w:r>
        <w:rPr>
          <w:rFonts w:hint="eastAsia" w:ascii="仿宋" w:hAnsi="仿宋" w:eastAsia="仿宋"/>
          <w:b w:val="0"/>
          <w:bCs w:val="0"/>
          <w:color w:val="000000"/>
          <w:sz w:val="32"/>
          <w:szCs w:val="32"/>
          <w:lang w:eastAsia="zh-CN"/>
        </w:rPr>
        <w:t>最近连续两个会计年度前述比例均高于</w:t>
      </w:r>
      <w:r>
        <w:rPr>
          <w:rFonts w:hint="eastAsia" w:ascii="仿宋" w:hAnsi="仿宋" w:eastAsia="仿宋"/>
          <w:b w:val="0"/>
          <w:bCs w:val="0"/>
          <w:color w:val="000000"/>
          <w:sz w:val="32"/>
          <w:szCs w:val="32"/>
          <w:lang w:val="en-US" w:eastAsia="zh-CN"/>
        </w:rPr>
        <w:t>50%，且公司本年度不进行现金分红或者现金分红总额低于当年净利润</w:t>
      </w:r>
      <w:r>
        <w:rPr>
          <w:rFonts w:hint="eastAsia" w:ascii="仿宋" w:hAnsi="仿宋" w:eastAsia="仿宋"/>
          <w:b w:val="0"/>
          <w:bCs w:val="0"/>
          <w:color w:val="000000"/>
          <w:sz w:val="32"/>
          <w:szCs w:val="32"/>
        </w:rPr>
        <w:t>50%的，应</w:t>
      </w:r>
      <w:r>
        <w:rPr>
          <w:rFonts w:hint="eastAsia" w:ascii="仿宋" w:hAnsi="仿宋" w:eastAsia="仿宋"/>
          <w:b w:val="0"/>
          <w:bCs w:val="0"/>
          <w:color w:val="000000"/>
          <w:sz w:val="32"/>
          <w:szCs w:val="32"/>
          <w:lang w:eastAsia="zh-CN"/>
        </w:rPr>
        <w:t>当</w:t>
      </w:r>
      <w:r>
        <w:rPr>
          <w:rFonts w:hint="eastAsia" w:ascii="仿宋" w:hAnsi="仿宋" w:eastAsia="仿宋"/>
          <w:b w:val="0"/>
          <w:bCs w:val="0"/>
          <w:color w:val="000000"/>
          <w:sz w:val="32"/>
          <w:szCs w:val="32"/>
        </w:rPr>
        <w:t>结合前述财务报表列报项目的具体情况，</w:t>
      </w:r>
      <w:r>
        <w:rPr>
          <w:rFonts w:hint="eastAsia" w:ascii="仿宋" w:hAnsi="仿宋" w:eastAsia="仿宋"/>
          <w:b w:val="0"/>
          <w:bCs w:val="0"/>
          <w:color w:val="000000"/>
          <w:sz w:val="32"/>
          <w:szCs w:val="32"/>
          <w:lang w:eastAsia="zh-CN"/>
        </w:rPr>
        <w:t>说明</w:t>
      </w:r>
      <w:r>
        <w:rPr>
          <w:rFonts w:hint="eastAsia" w:ascii="仿宋" w:hAnsi="仿宋" w:eastAsia="仿宋"/>
          <w:color w:val="000000"/>
          <w:sz w:val="32"/>
          <w:szCs w:val="32"/>
        </w:rPr>
        <w:t>现金分红方案确定的依据，以及未来增强投资者回报水平的规划。</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cs="Times New Roman"/>
          <w:color w:val="000000"/>
          <w:sz w:val="32"/>
          <w:szCs w:val="32"/>
          <w:lang w:val="en-US" w:eastAsia="zh-CN"/>
        </w:rPr>
        <w:t>4</w:t>
      </w:r>
      <w:r>
        <w:rPr>
          <w:rFonts w:hint="eastAsia" w:ascii="仿宋" w:hAnsi="仿宋" w:eastAsia="仿宋"/>
          <w:color w:val="000000"/>
          <w:sz w:val="32"/>
          <w:szCs w:val="32"/>
        </w:rPr>
        <w:t xml:space="preserve">. </w:t>
      </w:r>
      <w:r>
        <w:rPr>
          <w:rFonts w:hint="eastAsia" w:ascii="仿宋" w:hAnsi="仿宋" w:eastAsia="仿宋"/>
          <w:b w:val="0"/>
          <w:bCs w:val="0"/>
          <w:color w:val="000000"/>
          <w:sz w:val="32"/>
          <w:szCs w:val="32"/>
        </w:rPr>
        <w:t>上市公司利润分配方案中现金分红的金额达到或者超过当期净利润的100%，且达到或者超过当期末未分配利润的50%</w:t>
      </w:r>
      <w:r>
        <w:rPr>
          <w:rFonts w:hint="eastAsia" w:ascii="仿宋" w:hAnsi="仿宋" w:eastAsia="仿宋"/>
          <w:b w:val="0"/>
          <w:bCs w:val="0"/>
          <w:color w:val="000000"/>
          <w:sz w:val="32"/>
          <w:szCs w:val="32"/>
          <w:lang w:eastAsia="zh-CN"/>
        </w:rPr>
        <w:t>的</w:t>
      </w:r>
      <w:r>
        <w:rPr>
          <w:rFonts w:hint="eastAsia" w:ascii="仿宋" w:hAnsi="仿宋" w:eastAsia="仿宋"/>
          <w:b w:val="0"/>
          <w:bCs w:val="0"/>
          <w:color w:val="000000"/>
          <w:sz w:val="32"/>
          <w:szCs w:val="32"/>
        </w:rPr>
        <w:t>，</w:t>
      </w:r>
      <w:r>
        <w:rPr>
          <w:rFonts w:hint="eastAsia" w:ascii="仿宋" w:hAnsi="仿宋" w:eastAsia="仿宋"/>
          <w:b w:val="0"/>
          <w:bCs w:val="0"/>
          <w:color w:val="000000"/>
          <w:sz w:val="32"/>
          <w:szCs w:val="32"/>
          <w:lang w:eastAsia="zh-CN"/>
        </w:rPr>
        <w:t>说明现金分红</w:t>
      </w:r>
      <w:r>
        <w:rPr>
          <w:rFonts w:hint="eastAsia" w:ascii="仿宋" w:hAnsi="仿宋" w:eastAsia="仿宋"/>
          <w:b w:val="0"/>
          <w:bCs w:val="0"/>
          <w:color w:val="000000"/>
          <w:sz w:val="32"/>
          <w:szCs w:val="32"/>
        </w:rPr>
        <w:t>是否影响偿债能力、过去十二个月内是否使用过募集资金补充流动资金以及未来十二个月内是否计划使用募集资金补充流动资金等内容。</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cs="Times New Roman"/>
          <w:color w:val="000000"/>
          <w:sz w:val="32"/>
          <w:szCs w:val="32"/>
          <w:lang w:val="en-US" w:eastAsia="zh-CN"/>
        </w:rPr>
        <w:t>5</w:t>
      </w:r>
      <w:r>
        <w:rPr>
          <w:rFonts w:hint="eastAsia" w:ascii="仿宋" w:hAnsi="仿宋" w:eastAsia="仿宋"/>
          <w:color w:val="000000"/>
          <w:sz w:val="32"/>
          <w:szCs w:val="32"/>
        </w:rPr>
        <w:t xml:space="preserve">. </w:t>
      </w:r>
      <w:r>
        <w:rPr>
          <w:rFonts w:hint="eastAsia" w:ascii="仿宋" w:hAnsi="仿宋" w:eastAsia="仿宋"/>
          <w:b w:val="0"/>
          <w:bCs w:val="0"/>
          <w:color w:val="000000"/>
          <w:sz w:val="32"/>
          <w:szCs w:val="32"/>
        </w:rPr>
        <w:t>上市公司存在</w:t>
      </w:r>
      <w:r>
        <w:rPr>
          <w:rFonts w:hint="eastAsia" w:ascii="仿宋" w:hAnsi="仿宋" w:eastAsia="仿宋"/>
          <w:b w:val="0"/>
          <w:bCs w:val="0"/>
          <w:color w:val="000000"/>
          <w:sz w:val="32"/>
          <w:szCs w:val="32"/>
          <w:lang w:eastAsia="zh-CN"/>
        </w:rPr>
        <w:t>下列</w:t>
      </w:r>
      <w:r>
        <w:rPr>
          <w:rFonts w:hint="eastAsia" w:ascii="仿宋" w:hAnsi="仿宋" w:eastAsia="仿宋"/>
          <w:b w:val="0"/>
          <w:bCs w:val="0"/>
          <w:color w:val="000000"/>
          <w:sz w:val="32"/>
          <w:szCs w:val="32"/>
        </w:rPr>
        <w:t>情形</w:t>
      </w:r>
      <w:r>
        <w:rPr>
          <w:rFonts w:hint="eastAsia" w:ascii="仿宋" w:hAnsi="仿宋" w:eastAsia="仿宋"/>
          <w:b w:val="0"/>
          <w:bCs w:val="0"/>
          <w:color w:val="000000"/>
          <w:sz w:val="32"/>
          <w:szCs w:val="32"/>
          <w:lang w:eastAsia="zh-CN"/>
        </w:rPr>
        <w:t>之一</w:t>
      </w:r>
      <w:r>
        <w:rPr>
          <w:rFonts w:hint="eastAsia" w:ascii="仿宋" w:hAnsi="仿宋" w:eastAsia="仿宋"/>
          <w:b w:val="0"/>
          <w:bCs w:val="0"/>
          <w:color w:val="000000"/>
          <w:sz w:val="32"/>
          <w:szCs w:val="32"/>
        </w:rPr>
        <w:t>的，</w:t>
      </w:r>
      <w:r>
        <w:rPr>
          <w:rFonts w:hint="eastAsia" w:ascii="仿宋" w:hAnsi="仿宋" w:eastAsia="仿宋"/>
          <w:b w:val="0"/>
          <w:bCs w:val="0"/>
          <w:color w:val="000000"/>
          <w:sz w:val="32"/>
          <w:szCs w:val="32"/>
          <w:lang w:eastAsia="zh-CN"/>
        </w:rPr>
        <w:t>应当</w:t>
      </w:r>
      <w:r>
        <w:rPr>
          <w:rFonts w:hint="eastAsia" w:ascii="仿宋" w:hAnsi="仿宋" w:eastAsia="仿宋"/>
          <w:b w:val="0"/>
          <w:bCs w:val="0"/>
          <w:color w:val="000000"/>
          <w:sz w:val="32"/>
          <w:szCs w:val="32"/>
        </w:rPr>
        <w:t>根据公司盈利能力、融资能力及其成本、偿债能力及现金流等情况</w:t>
      </w:r>
      <w:r>
        <w:rPr>
          <w:rFonts w:hint="eastAsia" w:ascii="仿宋" w:hAnsi="仿宋" w:eastAsia="仿宋"/>
          <w:b w:val="0"/>
          <w:bCs w:val="0"/>
          <w:color w:val="000000"/>
          <w:sz w:val="32"/>
          <w:szCs w:val="32"/>
          <w:lang w:eastAsia="zh-CN"/>
        </w:rPr>
        <w:t>说明</w:t>
      </w:r>
      <w:r>
        <w:rPr>
          <w:rFonts w:hint="eastAsia" w:ascii="仿宋" w:hAnsi="仿宋" w:eastAsia="仿宋"/>
          <w:b w:val="0"/>
          <w:bCs w:val="0"/>
          <w:color w:val="000000"/>
          <w:sz w:val="32"/>
          <w:szCs w:val="32"/>
        </w:rPr>
        <w:t>现金分红方案的合理性，是否导致公司营运资金不足或者影响公司正常生产经营：</w:t>
      </w:r>
    </w:p>
    <w:p>
      <w:pPr>
        <w:spacing w:line="56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（1）</w:t>
      </w:r>
      <w:r>
        <w:rPr>
          <w:rFonts w:hint="eastAsia" w:ascii="仿宋" w:hAnsi="仿宋" w:eastAsia="仿宋"/>
          <w:b w:val="0"/>
          <w:bCs w:val="0"/>
          <w:color w:val="000000"/>
          <w:sz w:val="32"/>
          <w:szCs w:val="32"/>
        </w:rPr>
        <w:t>最近一个会计年度的财务会计报告被出具非无保留意见的审计报告或者带与持续经营相关的重大不确定性段落的无保留意见的审计报告，且实施现金分红的；</w:t>
      </w:r>
    </w:p>
    <w:p>
      <w:pPr>
        <w:spacing w:line="56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lang w:val="en-US" w:eastAsia="zh-CN"/>
        </w:rPr>
        <w:t>2</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报告期末资产负债率超过80%且当期经营活动产生的现金流量净额为负，现金分红金额超过当期净利润50%的，金融业上市公司除外。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四、高送转方案的具体情况（如适用）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一</w:t>
      </w:r>
      <w:r>
        <w:rPr>
          <w:rFonts w:hint="eastAsia" w:ascii="仿宋" w:hAnsi="仿宋" w:eastAsia="仿宋"/>
          <w:color w:val="000000"/>
          <w:sz w:val="32"/>
          <w:szCs w:val="32"/>
        </w:rPr>
        <w:t>）</w:t>
      </w:r>
      <w:r>
        <w:rPr>
          <w:rFonts w:hint="eastAsia" w:ascii="仿宋" w:hAnsi="仿宋" w:eastAsia="仿宋"/>
          <w:color w:val="000000"/>
          <w:sz w:val="32"/>
          <w:szCs w:val="32"/>
          <w:lang w:eastAsia="zh-CN"/>
        </w:rPr>
        <w:t>高送转</w:t>
      </w:r>
      <w:r>
        <w:rPr>
          <w:rFonts w:hint="eastAsia" w:ascii="仿宋" w:hAnsi="仿宋" w:eastAsia="仿宋"/>
          <w:color w:val="000000"/>
          <w:sz w:val="32"/>
          <w:szCs w:val="32"/>
        </w:rPr>
        <w:t>方案的合法合规性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说明高送转方案是否符合《公司法》《企业会计准则》、本所《上市公司自律监管指引第1号——主板上市公司规范运作》及公司章程等规定，是否符合公司确定的利润分配政策、利润分配计划、股东长期回报规划以及作出的相关承诺。</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（二）高送转方案与公司成长性的匹配情况</w:t>
      </w:r>
    </w:p>
    <w:p>
      <w:pPr>
        <w:spacing w:line="56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1. 结合净利润、净资产的增长情况等说明高送转与公司业绩增长的匹配情况，或者结合最近三年每股收益情况等说明高送转的主要考虑及其合理性</w:t>
      </w:r>
      <w:r>
        <w:rPr>
          <w:rFonts w:hint="eastAsia" w:ascii="仿宋" w:hAnsi="仿宋" w:eastAsia="仿宋"/>
          <w:color w:val="000000"/>
          <w:sz w:val="32"/>
          <w:szCs w:val="32"/>
          <w:lang w:eastAsia="zh-CN"/>
        </w:rPr>
        <w:t>。</w:t>
      </w:r>
    </w:p>
    <w:p>
      <w:pPr>
        <w:spacing w:line="560" w:lineRule="exact"/>
        <w:ind w:firstLine="640" w:firstLineChars="200"/>
        <w:rPr>
          <w:rFonts w:hint="eastAsia" w:ascii="仿宋" w:hAnsi="仿宋" w:eastAsia="仿宋"/>
          <w:color w:val="000000"/>
          <w:sz w:val="32"/>
          <w:szCs w:val="32"/>
          <w:highlight w:val="none"/>
        </w:rPr>
      </w:pPr>
      <w:r>
        <w:rPr>
          <w:rFonts w:hint="eastAsia" w:ascii="仿宋" w:hAnsi="仿宋" w:eastAsia="仿宋" w:cs="Times New Roman"/>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color w:val="000000"/>
          <w:sz w:val="32"/>
          <w:szCs w:val="32"/>
          <w:highlight w:val="none"/>
        </w:rPr>
        <w:t>报告期内非经常性损益对公司业绩影响较大的（占净利润30%以上），说明其金额及可持续性。</w:t>
      </w:r>
    </w:p>
    <w:p>
      <w:pPr>
        <w:numPr>
          <w:ilvl w:val="0"/>
          <w:numId w:val="0"/>
        </w:num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（三）</w:t>
      </w:r>
      <w:r>
        <w:rPr>
          <w:rFonts w:hint="eastAsia" w:ascii="仿宋" w:hAnsi="仿宋" w:eastAsia="仿宋"/>
          <w:color w:val="000000"/>
          <w:sz w:val="32"/>
          <w:szCs w:val="32"/>
        </w:rPr>
        <w:t>相关说明及风险提示</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 xml:space="preserve">1. </w:t>
      </w:r>
      <w:r>
        <w:rPr>
          <w:rFonts w:hint="eastAsia" w:ascii="仿宋" w:hAnsi="仿宋" w:eastAsia="仿宋"/>
          <w:sz w:val="32"/>
          <w:szCs w:val="32"/>
        </w:rPr>
        <w:t>说明高送转方案对公司报告期内净资产收益率以及投资者持股比例没有实质性的影响，以及公司报告期内每股收益、每股净资产的摊薄情况。</w:t>
      </w:r>
    </w:p>
    <w:p>
      <w:pPr>
        <w:spacing w:line="560" w:lineRule="exact"/>
        <w:ind w:firstLine="640" w:firstLineChars="200"/>
        <w:rPr>
          <w:rFonts w:ascii="仿宋" w:hAnsi="仿宋" w:eastAsia="仿宋"/>
          <w:sz w:val="32"/>
          <w:szCs w:val="32"/>
        </w:rPr>
      </w:pPr>
      <w:r>
        <w:rPr>
          <w:rFonts w:hint="eastAsia" w:ascii="仿宋" w:hAnsi="仿宋" w:eastAsia="仿宋" w:cs="Times New Roman"/>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sz w:val="32"/>
          <w:szCs w:val="32"/>
        </w:rPr>
        <w:t>说明高送转方案尚需经股东大会审议通过，存在不确定性。</w:t>
      </w:r>
    </w:p>
    <w:p>
      <w:pPr>
        <w:spacing w:line="560" w:lineRule="exact"/>
        <w:ind w:firstLine="640" w:firstLineChars="200"/>
        <w:rPr>
          <w:rFonts w:ascii="仿宋" w:hAnsi="仿宋" w:eastAsia="仿宋"/>
          <w:sz w:val="32"/>
          <w:szCs w:val="32"/>
        </w:rPr>
      </w:pPr>
      <w:r>
        <w:rPr>
          <w:rFonts w:hint="eastAsia" w:ascii="仿宋" w:hAnsi="仿宋" w:eastAsia="仿宋" w:cs="Times New Roman"/>
          <w:color w:val="000000"/>
          <w:sz w:val="32"/>
          <w:szCs w:val="32"/>
          <w:lang w:val="en-US" w:eastAsia="zh-CN"/>
        </w:rPr>
        <w:t>3</w:t>
      </w:r>
      <w:r>
        <w:rPr>
          <w:rFonts w:hint="eastAsia" w:ascii="仿宋" w:hAnsi="仿宋" w:eastAsia="仿宋"/>
          <w:color w:val="000000"/>
          <w:sz w:val="32"/>
          <w:szCs w:val="32"/>
        </w:rPr>
        <w:t xml:space="preserve">. </w:t>
      </w:r>
      <w:r>
        <w:rPr>
          <w:rFonts w:hint="eastAsia" w:ascii="仿宋" w:hAnsi="仿宋" w:eastAsia="仿宋"/>
          <w:sz w:val="32"/>
          <w:szCs w:val="32"/>
        </w:rPr>
        <w:t>说明公司在信息保密和防范内幕交易方面所采取的措施。</w:t>
      </w:r>
    </w:p>
    <w:p>
      <w:pPr>
        <w:numPr>
          <w:ilvl w:val="0"/>
          <w:numId w:val="0"/>
        </w:numPr>
        <w:spacing w:line="560" w:lineRule="exact"/>
        <w:ind w:leftChars="200" w:firstLine="321" w:firstLineChars="10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五、备查文件</w:t>
      </w:r>
      <w:r>
        <w:rPr>
          <w:rFonts w:hint="eastAsia" w:ascii="仿宋" w:hAnsi="仿宋" w:eastAsia="仿宋"/>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rPr>
        <w:t xml:space="preserve">1. </w:t>
      </w:r>
      <w:r>
        <w:rPr>
          <w:rFonts w:hint="eastAsia" w:ascii="仿宋" w:hAnsi="仿宋" w:eastAsia="仿宋"/>
          <w:color w:val="000000"/>
          <w:sz w:val="32"/>
          <w:szCs w:val="32"/>
          <w:lang w:val="en-US" w:eastAsia="zh-CN"/>
        </w:rPr>
        <w:t>审计报告（如适用）；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Times New Roman"/>
          <w:color w:val="000000"/>
          <w:sz w:val="32"/>
          <w:szCs w:val="32"/>
          <w:lang w:val="en-US" w:eastAsia="zh-CN"/>
        </w:rPr>
        <w:t>2</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董事会决议；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s="Times New Roman"/>
          <w:color w:val="000000"/>
          <w:sz w:val="32"/>
          <w:szCs w:val="32"/>
          <w:lang w:val="en-US" w:eastAsia="zh-CN"/>
        </w:rPr>
        <w:t>3</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独立董事意见（如适用）；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Times New Roman"/>
          <w:color w:val="000000"/>
          <w:sz w:val="32"/>
          <w:szCs w:val="32"/>
          <w:lang w:val="en-US" w:eastAsia="zh-CN"/>
        </w:rPr>
        <w:t>4</w:t>
      </w:r>
      <w:r>
        <w:rPr>
          <w:rFonts w:hint="eastAsia" w:ascii="仿宋" w:hAnsi="仿宋" w:eastAsia="仿宋"/>
          <w:color w:val="000000"/>
          <w:sz w:val="32"/>
          <w:szCs w:val="32"/>
        </w:rPr>
        <w:t xml:space="preserve">. </w:t>
      </w:r>
      <w:r>
        <w:rPr>
          <w:rFonts w:hint="eastAsia" w:eastAsia="仿宋"/>
          <w:color w:val="000000"/>
          <w:sz w:val="32"/>
          <w:szCs w:val="32"/>
          <w:lang w:val="en-US" w:eastAsia="zh-CN"/>
        </w:rPr>
        <w:t>回购注销金额的相关证明；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s="Times New Roman"/>
          <w:color w:val="000000"/>
          <w:sz w:val="32"/>
          <w:szCs w:val="32"/>
          <w:lang w:val="en-US" w:eastAsia="zh-CN"/>
        </w:rPr>
        <w:t>5</w:t>
      </w:r>
      <w:r>
        <w:rPr>
          <w:rFonts w:hint="eastAsia" w:ascii="仿宋" w:hAnsi="仿宋" w:eastAsia="仿宋"/>
          <w:color w:val="000000"/>
          <w:sz w:val="32"/>
          <w:szCs w:val="32"/>
        </w:rPr>
        <w:t xml:space="preserve">. </w:t>
      </w:r>
      <w:r>
        <w:rPr>
          <w:rFonts w:hint="eastAsia" w:ascii="仿宋" w:hAnsi="仿宋" w:eastAsia="仿宋"/>
          <w:sz w:val="32"/>
          <w:szCs w:val="32"/>
        </w:rPr>
        <w:t>深交所要求的其他文件。</w:t>
      </w: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right="360" w:firstLine="4160"/>
        <w:jc w:val="right"/>
        <w:rPr>
          <w:rFonts w:ascii="仿宋" w:hAnsi="仿宋" w:eastAsia="仿宋"/>
          <w:sz w:val="32"/>
          <w:szCs w:val="32"/>
        </w:rPr>
      </w:pPr>
    </w:p>
    <w:p>
      <w:pPr>
        <w:spacing w:line="560" w:lineRule="exact"/>
        <w:ind w:right="360" w:firstLine="4160"/>
        <w:jc w:val="right"/>
        <w:rPr>
          <w:rFonts w:ascii="仿宋" w:hAnsi="仿宋" w:eastAsia="仿宋"/>
          <w:sz w:val="32"/>
          <w:szCs w:val="32"/>
        </w:rPr>
      </w:pPr>
    </w:p>
    <w:p>
      <w:pPr>
        <w:spacing w:line="560" w:lineRule="exact"/>
        <w:ind w:right="360" w:firstLine="4160"/>
        <w:jc w:val="right"/>
        <w:rPr>
          <w:rFonts w:ascii="仿宋" w:hAnsi="仿宋" w:eastAsia="仿宋"/>
          <w:sz w:val="32"/>
          <w:szCs w:val="32"/>
        </w:rPr>
      </w:pPr>
    </w:p>
    <w:p>
      <w:pPr>
        <w:rPr>
          <w:rFonts w:hint="eastAsia" w:ascii="仿宋" w:hAnsi="仿宋" w:eastAsia="仿宋" w:cs="宋体"/>
          <w:color w:val="000000"/>
          <w:kern w:val="0"/>
          <w:sz w:val="32"/>
          <w:szCs w:val="32"/>
        </w:rPr>
      </w:pPr>
    </w:p>
    <w:p>
      <w:pPr>
        <w:rPr>
          <w:rFonts w:hint="eastAsia"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215" w:name="_Toc19404"/>
      <w:r>
        <w:rPr>
          <w:rFonts w:hint="eastAsia" w:ascii="方正小标宋简体" w:hAnsi="仿宋" w:eastAsia="方正小标宋简体"/>
          <w:kern w:val="44"/>
          <w:sz w:val="44"/>
          <w:szCs w:val="44"/>
        </w:rPr>
        <w:t>定期报告类第</w:t>
      </w:r>
      <w:r>
        <w:rPr>
          <w:rFonts w:hint="eastAsia" w:ascii="方正小标宋简体" w:hAnsi="仿宋" w:eastAsia="方正小标宋简体"/>
          <w:kern w:val="44"/>
          <w:sz w:val="44"/>
          <w:szCs w:val="44"/>
          <w:lang w:val="en-US" w:eastAsia="zh-CN"/>
        </w:rPr>
        <w:t>7</w:t>
      </w:r>
      <w:r>
        <w:rPr>
          <w:rFonts w:hint="eastAsia" w:ascii="方正小标宋简体" w:hAnsi="仿宋" w:eastAsia="方正小标宋简体"/>
          <w:kern w:val="44"/>
          <w:sz w:val="44"/>
          <w:szCs w:val="44"/>
        </w:rPr>
        <w:t>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分红派息、转增股本实施公告格式</w:t>
      </w:r>
      <w:bookmarkEnd w:id="204"/>
      <w:bookmarkEnd w:id="205"/>
      <w:bookmarkEnd w:id="206"/>
      <w:bookmarkEnd w:id="207"/>
      <w:bookmarkEnd w:id="208"/>
      <w:bookmarkEnd w:id="209"/>
      <w:bookmarkEnd w:id="210"/>
      <w:bookmarkEnd w:id="215"/>
    </w:p>
    <w:p>
      <w:pPr>
        <w:spacing w:line="560" w:lineRule="exact"/>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XXXXXX股份有限公司分红派息、转增股本实施公告</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rPr>
          <w:rFonts w:ascii="仿宋" w:hAnsi="仿宋" w:eastAsia="仿宋"/>
          <w:sz w:val="32"/>
          <w:szCs w:val="32"/>
        </w:rPr>
      </w:pPr>
      <w:r>
        <w:rPr>
          <w:rFonts w:hint="eastAsi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120650</wp:posOffset>
                </wp:positionV>
                <wp:extent cx="5915025" cy="1628775"/>
                <wp:effectExtent l="0" t="0" r="28575" b="28575"/>
                <wp:wrapNone/>
                <wp:docPr id="235" name="矩形 235"/>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5pt;height:128.25pt;width:465.75pt;mso-position-horizontal:center;mso-position-horizontal-relative:margin;z-index:251678720;mso-width-relative:page;mso-height-relative:page;" fillcolor="#FFFFFF" filled="t" stroked="t" coordsize="21600,21600" o:gfxdata="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hsei9YAAAAHAQAADwAAAAAAAAABACAAAAAiAAAAZHJzL2Rvd25y&#10;ZXYueG1sUEsBAhQAFAAAAAgAh07iQNkPrXQ5AgAAfwQAAA4AAAAAAAAAAQAgAAAAJQ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rPr>
          <w:rFonts w:ascii="仿宋" w:hAnsi="仿宋" w:eastAsia="仿宋"/>
          <w:sz w:val="32"/>
          <w:szCs w:val="32"/>
        </w:rPr>
      </w:pPr>
    </w:p>
    <w:p>
      <w:pPr>
        <w:tabs>
          <w:tab w:val="left" w:pos="900"/>
        </w:tabs>
        <w:spacing w:line="560" w:lineRule="exact"/>
        <w:ind w:firstLine="48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tabs>
          <w:tab w:val="left" w:pos="900"/>
        </w:tabs>
        <w:spacing w:line="560" w:lineRule="exact"/>
        <w:ind w:firstLine="640" w:firstLineChars="200"/>
        <w:rPr>
          <w:rFonts w:ascii="仿宋" w:hAnsi="仿宋" w:eastAsia="仿宋"/>
          <w:b/>
          <w:sz w:val="32"/>
          <w:szCs w:val="32"/>
        </w:rPr>
      </w:pPr>
      <w:r>
        <w:rPr>
          <w:rFonts w:hint="eastAsia" w:ascii="仿宋" w:hAnsi="仿宋" w:eastAsia="仿宋"/>
          <w:sz w:val="32"/>
          <w:szCs w:val="32"/>
        </w:rPr>
        <w:t>上市公司本次利润分配及资本公积金转增股本方案（以下简称分配方案）未以总股本为基数实施或存在其他差异化安排的，应作出特别提示，并披露按公司总股本折算的每10股现金分红、送红股、资本公积金转增股本的比例（即分红总额/总股本、送红股总额/总股本、资本公积金转增股本总额/总股本）以及据此计算证券除权除息参考价的相关参数和公式。</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一、股东大会审议通过利润分配及资本公积金转增股本方案等情况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1．应披露公司股东大会审议通过的分配方案的具体内容；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2．应说明自分配方案披露至实施期间公司股本总额是否发生了变化。如股本总额发生了变化，应说明分配比例是否调整、如何调整；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3．应声明本次实施的分配方案与股东大会审议通过的分配方案及其调整原则是一致的；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4．应说明本次实施分配方案是否距离股东大会审议通过的时间超过两个月。如超过，公司董事会应说明原因并向股东致歉。</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二、本次实施的利润分配及资本公积金转增股本方案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1．说明发放年度、发放范围。应以每10股表述分红派息、送股、转增股本的比例，并说明含税及扣税情况。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2．若公司存在通过回购专用账户持有本公司股份的，应说明根据《公司法》的规定，该部分已回购的股份不享有参与本次利润分配及资本公积金转增股本的权利。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3．自分配方案披露至实施期间，参与分配的股本总额发生变化的，应当区别以下情形确定分配原则并披露：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股东大会审议通过的分配方案已确定了股本基数、分配比例和分配总额，而公司股本总额在分配方案披露至实施期间因新增股份上市、股权激励授予行权、可转债转股、股份回购等事项发生变化的，公司应按照股东大会审议确定的“现金分红总额、送红股总额、资本公积金转增股本总额”固定不变的原则，调整计算分配比例并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司股东大会审议通过的分配方案只确定了分配比例，但以分配方案未来实施时股权登记日的股本总额为基数，从而未确定分配总额的，公司股本总额在分配方案披露至实施期间因各种原因发生变化的，无需因股本总额的变动而调整分配比例。</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三、分红派息日期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应明确说明：股权登记日、除权日（除息日）和新增可流通股份上市日（红利发放日）。</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四、分红派息对象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截止股权登记日下午深交所收市后，在结算公司登记在册的全体股东。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本次分配方案未以总股本为基数实施或者存在其他差异化安排的，请相应说明分红派息的具体对象或者差异化安排。</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五、分配、转增股本方法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1．说明本次送转的股份将直接计入股东证券账户以及计入的具体日期。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2．说明本次公众股及职工股股息将通过股东托管证券商直接划入其资金账户以及划入的具体日期。国有股、法人股及高层管理人员持股的股息由公司派发。</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六、股本变动结构表（如适用）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按变动前股本、本次送红股、本次转增股本、变动后股本、股份比例等项目列示。</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七、调整相关参数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1．实施送转股方案后，按新股本总数摊薄计算的上年度每股收益或本年度中期每股收益。（如适用）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2．股东承诺最低减持价的，应注明最低减持价调整的情况。（如适用）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本次分配方案未以总股本为基数实施或存在其他差异化安排的，公司应披露按公司总股本折算的每10股分红、送股、转增的比例（即分红总额/总股本、送红股总额/总股本、资本公积金转增股本总额/总股本），并披露据此计算证券除权除息参考价的相关参数和公式。（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上市公司发行可转债并且拟调整转股价的，应当提交可转债转股价调整公告（与分红派息、转增股本实施公告同时提交）。在股权登记日，本所在完成除权处理的同时也会对可转债转股价（如有）进行调整。（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上市公司如存在正在实施的股权激励方案，在披露分红派息、转增股本实施公告时应当提示相关参数的调整，根据原股权激励方案中约定的计算公式，调整股票期权的行权价格及股票期权数理（或行权比率）等。（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上市公司非流通股股东和/或其实际控制人曾作出限定出售股份的价格、增持上市公司股份、赋予流通股东认购（或认沽）权利、追送股份、发行权证等股改承诺的，应按在《股权分置改革说明书》中载明的计算公式对有关参数进行调整并作出说明。（如适用）</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八、办理流程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1．根据结算公司的要求，上市公司提交分红派息、转增股本实施公告及相关材料，按照结算公司的审核意见修改公告的电子文件，并将按结算公司意见修改了的公告最终稿传真给结算公司。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2．上市公司通过深交所网上业务平台上传经结算公司审核通过后的分红派息、转增股本实施公告的电子文件。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3．按结算公司的要求做好派息金额的划拨等相关工作。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4．上市公司权益分派方案涉及派息的，应当在R－1日前将含税的足额的现金股利汇到结算公司指定账户。</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九、异常情况的报告及处理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上市公司在披露分红派息、转增股本实施公告后，如发生以下异常情况，应当及时向本所及结算公司报告：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1．上市公司不能如期向结算公司划拨足额派息金额，将调整原确定的权益分派股权登记日及除权日；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2．影响分红派息、转增股本正常实施的其他情形。</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十、其他注意事项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1．上市公司近期如有增发、配股等业务的，应当综合考虑该增发、配股等业务与分红派息、转增股本业务的衔接，在具体操作时应当完成一项业务后再开始另一项，两种以上业务不应并行。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2．A、B股公司分红派息应同时进行，B股派息及计税应采用正确的汇率(如适用)。</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十一、有关咨询方法</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十二、备查文件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1．公司股东大会关于审议通过分配方案、转增股本的决议；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2．董事会审议通过利润分配及资本公积金转增股本方案的决议；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3．登记公司确认有关分红派息、转增股本具体时间安排的文件；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4．深交所要求的其他文件。</w:t>
      </w:r>
    </w:p>
    <w:p>
      <w:pPr>
        <w:spacing w:line="560" w:lineRule="exact"/>
        <w:ind w:firstLine="560"/>
        <w:rPr>
          <w:rFonts w:ascii="仿宋" w:hAnsi="仿宋" w:eastAsia="仿宋"/>
          <w:sz w:val="32"/>
          <w:szCs w:val="32"/>
        </w:rPr>
      </w:pPr>
    </w:p>
    <w:p>
      <w:pPr>
        <w:spacing w:line="560" w:lineRule="exact"/>
        <w:ind w:left="4250" w:firstLine="140"/>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right="520" w:firstLine="4160"/>
        <w:jc w:val="righ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216" w:name="_Toc138173231"/>
      <w:bookmarkStart w:id="217" w:name="_Toc91782443"/>
      <w:bookmarkStart w:id="218" w:name="_Toc91607645"/>
      <w:bookmarkStart w:id="219" w:name="_Toc42510707"/>
      <w:bookmarkStart w:id="220" w:name="_Toc9732"/>
      <w:bookmarkStart w:id="221" w:name="_Toc91781162"/>
      <w:r>
        <w:rPr>
          <w:rFonts w:hint="eastAsia" w:ascii="方正小标宋简体" w:hAnsi="仿宋" w:eastAsia="方正小标宋简体"/>
          <w:kern w:val="44"/>
          <w:sz w:val="44"/>
          <w:szCs w:val="44"/>
        </w:rPr>
        <w:t>定期报告类第</w:t>
      </w:r>
      <w:r>
        <w:rPr>
          <w:rFonts w:hint="eastAsia" w:ascii="方正小标宋简体" w:hAnsi="仿宋" w:eastAsia="方正小标宋简体"/>
          <w:kern w:val="44"/>
          <w:sz w:val="44"/>
          <w:szCs w:val="44"/>
          <w:lang w:val="en-US" w:eastAsia="zh-CN"/>
        </w:rPr>
        <w:t>8</w:t>
      </w:r>
      <w:r>
        <w:rPr>
          <w:rFonts w:hint="eastAsia" w:ascii="方正小标宋简体" w:hAnsi="仿宋" w:eastAsia="方正小标宋简体"/>
          <w:kern w:val="44"/>
          <w:sz w:val="44"/>
          <w:szCs w:val="44"/>
        </w:rPr>
        <w:t>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会计政策变更公告格式</w:t>
      </w:r>
      <w:bookmarkEnd w:id="216"/>
      <w:bookmarkEnd w:id="217"/>
      <w:bookmarkEnd w:id="218"/>
      <w:bookmarkEnd w:id="219"/>
      <w:bookmarkEnd w:id="220"/>
      <w:bookmarkEnd w:id="221"/>
    </w:p>
    <w:p>
      <w:pPr>
        <w:adjustRightInd w:val="0"/>
        <w:snapToGrid w:val="0"/>
        <w:spacing w:line="360" w:lineRule="auto"/>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适用情形及注意事项：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1．上市公司根据法律、行政法规或者国家统一的会计制度的要求变更会计政策的或自主变更会计政策的，应当适用本格式。</w:t>
      </w:r>
    </w:p>
    <w:p>
      <w:pPr>
        <w:spacing w:line="560" w:lineRule="exact"/>
        <w:ind w:firstLine="640" w:firstLineChars="200"/>
        <w:rPr>
          <w:rFonts w:ascii="仿宋" w:hAnsi="仿宋" w:eastAsia="仿宋"/>
          <w:color w:val="000000"/>
          <w:sz w:val="32"/>
        </w:rPr>
      </w:pPr>
      <w:r>
        <w:rPr>
          <w:rFonts w:hint="eastAsia" w:ascii="仿宋" w:hAnsi="仿宋" w:eastAsia="仿宋"/>
          <w:sz w:val="32"/>
          <w:szCs w:val="32"/>
        </w:rPr>
        <w:t>2．上市公司</w:t>
      </w:r>
      <w:r>
        <w:rPr>
          <w:rFonts w:hint="eastAsia" w:ascii="仿宋" w:hAnsi="仿宋" w:eastAsia="仿宋"/>
          <w:color w:val="000000"/>
          <w:sz w:val="32"/>
          <w:szCs w:val="32"/>
        </w:rPr>
        <w:t>变更重要会计估计的，在董事会审议通过后比照</w:t>
      </w:r>
      <w:r>
        <w:rPr>
          <w:rFonts w:hint="eastAsia" w:ascii="仿宋" w:hAnsi="仿宋" w:eastAsia="仿宋"/>
          <w:color w:val="000000"/>
          <w:sz w:val="32"/>
        </w:rPr>
        <w:t>自主变更会计政策</w:t>
      </w:r>
      <w:r>
        <w:rPr>
          <w:rFonts w:hint="eastAsia" w:ascii="仿宋" w:hAnsi="仿宋" w:eastAsia="仿宋"/>
          <w:color w:val="000000"/>
          <w:sz w:val="32"/>
          <w:szCs w:val="32"/>
        </w:rPr>
        <w:t>适用本格式。</w:t>
      </w:r>
    </w:p>
    <w:p>
      <w:pPr>
        <w:adjustRightInd w:val="0"/>
        <w:snapToGrid w:val="0"/>
        <w:spacing w:line="560" w:lineRule="exact"/>
        <w:ind w:firstLine="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XXXXXX股份有限公司会计政策变更公告</w:t>
      </w:r>
    </w:p>
    <w:p>
      <w:pPr>
        <w:autoSpaceDE w:val="0"/>
        <w:autoSpaceDN w:val="0"/>
        <w:adjustRightInd w:val="0"/>
        <w:spacing w:line="360" w:lineRule="auto"/>
        <w:ind w:left="360"/>
        <w:rPr>
          <w:rFonts w:ascii="仿宋" w:hAnsi="仿宋" w:eastAsia="仿宋"/>
          <w:sz w:val="32"/>
          <w:szCs w:val="32"/>
        </w:rPr>
      </w:pPr>
      <w:r>
        <w:rPr>
          <w:rFonts w:hint="eastAsi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10795</wp:posOffset>
                </wp:positionV>
                <wp:extent cx="5915025" cy="1628775"/>
                <wp:effectExtent l="0" t="0" r="28575" b="28575"/>
                <wp:wrapNone/>
                <wp:docPr id="233" name="矩形 233"/>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85pt;height:128.25pt;width:465.75pt;mso-position-horizontal:center;mso-position-horizontal-relative:margin;z-index:251679744;mso-width-relative:page;mso-height-relative:page;" fillcolor="#FFFFFF" filled="t" stroked="t" coordsize="21600,21600" o:gfxdata="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5yXktYAAAAGAQAADwAAAAAAAAABACAAAAAiAAAAZHJzL2Rvd25y&#10;ZXYueG1sUEsBAhQAFAAAAAgAh07iQLYPZVg5AgAAfwQAAA4AAAAAAAAAAQAgAAAAJQ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360" w:lineRule="auto"/>
        <w:ind w:firstLine="538"/>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p>
    <w:p>
      <w:pPr>
        <w:widowControl/>
        <w:tabs>
          <w:tab w:val="center" w:pos="4657"/>
        </w:tabs>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特别提示：</w:t>
      </w:r>
      <w:r>
        <w:rPr>
          <w:rFonts w:hint="eastAsia" w:ascii="仿宋" w:hAnsi="仿宋" w:eastAsia="仿宋" w:cs="宋体"/>
          <w:b/>
          <w:bCs/>
          <w:kern w:val="0"/>
          <w:sz w:val="32"/>
          <w:szCs w:val="32"/>
        </w:rPr>
        <w:tab/>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 会计政策变更对上市公司营业收入、净利润、净资产等的影响。</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2. 如审计委员会、董事会对公司变更会计政策存在异议的，重点说明异议情况。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一、会计政策变更概述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说明会计政策变更的情况，包括但不限于会计政策变更的适用日期、变更的原因、变更前采用的会计政策、变更后采用的会计政策等。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对于自主变更会计政策的，简要说明董事会审议会计政策变更的表决情况。对于需要提交股东大会审议的，应当在公告中特别载明“上述事项尚需提交股东大会审议”。</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二、会计政策变更对公司的影响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采用追溯调整法的，应说明当期及前期财务报告中受影响的项目名称和调整金额，变更对营业收入、净利润、净资产等主要财务指标的影响，同时应说明追溯调整是否导致公司最近两年已披露的年度财务报告出现盈亏性质改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2．无法进行追溯调整的，应说明会计政策变更对列报前期影响数不切实可行的原因，在当期期初确定会计政策变更对以前各期累积影响数不切实可行的原因，以及开始适用新会计政策的时点和具体适用情况。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三、会计估计对公司的影响（如适用）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1．会计估计变更的内容及原因，会计估计变更对当期及未来期间的影响金额，包括但不限于对营业收入、净利润和净资产的影响金额。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2．分析会计估计变更日前，假设运用新的会计估计对公司的影响，包括但不限于对营业收入、净利润和净资产的影响金额。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四、审计委员会审议意见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说明审计委员会关于公司变更会计政策的意见，包括为评估会计政策变更的原因及必要性、合理性，是否追溯调整前期财务数据，是否损害公司利益等进行的具体工作和结论。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五、董事会意见（如适用）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1．说明董事会审议情况及表决情况。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2．结合公司实际情况等因素，说明会计政策变更的必要性、合理性，是否损害上市公司利益。</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六、监事会意见（如适用）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说明监事会关于上市公司会计政策变更的必要性、合理性、是否损害上市公司利益等发表的意见。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七、会计师事务所意见（如适用）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会计政策变更的原因及合规性；如涉及追溯调整的，对以往各年度财务状况和经营成果的影响金额；如涉及更换会计师事务所的，是否就相关事项与前任会计师事务所进行了必要的沟通等。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2．监事会意见（如适用）；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3．审计委员会审议意见（如适用）；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4．会计师事务所意见（如适用）；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5．深交所要求的其他文件。</w:t>
      </w:r>
    </w:p>
    <w:p>
      <w:pPr>
        <w:spacing w:line="560" w:lineRule="exact"/>
        <w:ind w:firstLine="640" w:firstLineChars="200"/>
        <w:rPr>
          <w:rFonts w:ascii="仿宋" w:hAnsi="仿宋" w:eastAsia="仿宋"/>
          <w:sz w:val="32"/>
          <w:szCs w:val="32"/>
        </w:rPr>
      </w:pPr>
    </w:p>
    <w:p>
      <w:pPr>
        <w:spacing w:line="560" w:lineRule="exact"/>
        <w:ind w:firstLine="563" w:firstLineChars="176"/>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222" w:name="_Toc20432"/>
      <w:bookmarkStart w:id="223" w:name="_Toc91781163"/>
      <w:bookmarkStart w:id="224" w:name="_Toc138173232"/>
      <w:bookmarkStart w:id="225" w:name="_Toc91782444"/>
      <w:bookmarkStart w:id="226" w:name="_Toc91607646"/>
      <w:bookmarkStart w:id="227" w:name="_Toc60758297"/>
      <w:r>
        <w:rPr>
          <w:rFonts w:hint="eastAsia" w:ascii="方正小标宋简体" w:hAnsi="仿宋" w:eastAsia="方正小标宋简体"/>
          <w:kern w:val="44"/>
          <w:sz w:val="44"/>
          <w:szCs w:val="44"/>
        </w:rPr>
        <w:t>定期报告类第</w:t>
      </w:r>
      <w:r>
        <w:rPr>
          <w:rFonts w:hint="eastAsia" w:ascii="方正小标宋简体" w:hAnsi="仿宋" w:eastAsia="方正小标宋简体"/>
          <w:kern w:val="44"/>
          <w:sz w:val="44"/>
          <w:szCs w:val="44"/>
          <w:lang w:val="en-US" w:eastAsia="zh-CN"/>
        </w:rPr>
        <w:t>9</w:t>
      </w:r>
      <w:r>
        <w:rPr>
          <w:rFonts w:hint="eastAsia" w:ascii="方正小标宋简体" w:hAnsi="仿宋" w:eastAsia="方正小标宋简体"/>
          <w:kern w:val="44"/>
          <w:sz w:val="44"/>
          <w:szCs w:val="44"/>
        </w:rPr>
        <w:t>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拟续聘/变更会计师事务所公告格式</w:t>
      </w:r>
      <w:bookmarkEnd w:id="222"/>
      <w:bookmarkEnd w:id="223"/>
      <w:bookmarkEnd w:id="224"/>
      <w:bookmarkEnd w:id="225"/>
      <w:bookmarkEnd w:id="226"/>
      <w:bookmarkEnd w:id="227"/>
    </w:p>
    <w:p>
      <w:pPr>
        <w:spacing w:line="560" w:lineRule="exact"/>
        <w:rPr>
          <w:rFonts w:ascii="仿宋" w:hAnsi="仿宋" w:eastAsia="仿宋"/>
          <w:kern w:val="0"/>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XX股份有限公司拟续聘/变更会计师事务所的公告</w:t>
      </w:r>
    </w:p>
    <w:p>
      <w:pPr>
        <w:widowControl/>
        <w:spacing w:line="560" w:lineRule="exact"/>
        <w:ind w:firstLine="539" w:firstLineChars="257"/>
        <w:rPr>
          <w:rFonts w:ascii="仿宋" w:hAnsi="仿宋" w:eastAsia="仿宋" w:cs="宋体"/>
          <w:kern w:val="0"/>
          <w:sz w:val="32"/>
          <w:szCs w:val="32"/>
        </w:rPr>
      </w:pPr>
      <w:r>
        <w:rPr>
          <w:rFonts w:hint="eastAsi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177800</wp:posOffset>
                </wp:positionV>
                <wp:extent cx="5915025" cy="1628775"/>
                <wp:effectExtent l="0" t="0" r="28575" b="28575"/>
                <wp:wrapNone/>
                <wp:docPr id="232" name="矩形 232"/>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4pt;height:128.25pt;width:465.75pt;mso-position-horizontal:center;mso-position-horizontal-relative:margin;z-index:251680768;mso-width-relative:page;mso-height-relative:page;" fillcolor="#FFFFFF" filled="t" stroked="t" coordsize="21600,21600" o:gfxdata="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Tn/81gAAAAcBAAAPAAAAAAAAAAEAIAAAACIAAABkcnMvZG93bnJl&#10;di54bWxQSwECFAAUAAAACACHTuJAhIwBuD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firstLine="822" w:firstLineChars="257"/>
        <w:rPr>
          <w:rFonts w:ascii="仿宋" w:hAnsi="仿宋" w:eastAsia="仿宋" w:cs="宋体"/>
          <w:kern w:val="0"/>
          <w:sz w:val="32"/>
          <w:szCs w:val="32"/>
        </w:rPr>
      </w:pPr>
    </w:p>
    <w:p>
      <w:pPr>
        <w:widowControl/>
        <w:spacing w:line="560" w:lineRule="exact"/>
        <w:ind w:firstLine="822" w:firstLineChars="257"/>
        <w:rPr>
          <w:rFonts w:ascii="仿宋" w:hAnsi="仿宋" w:eastAsia="仿宋" w:cs="宋体"/>
          <w:kern w:val="0"/>
          <w:sz w:val="32"/>
          <w:szCs w:val="32"/>
        </w:rPr>
      </w:pPr>
    </w:p>
    <w:p>
      <w:pPr>
        <w:widowControl/>
        <w:spacing w:line="560" w:lineRule="exact"/>
        <w:ind w:firstLine="643" w:firstLineChars="20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特别提示：</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1．如上一年度审计意见为非标准审计意见，重点提示审计意见类型。</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2．如涉及变更会计师事务所，说明前后任会计师事务所名称并重点提示变更原因。</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3．如审计委员会、董事会对拟续聘/变更会计师事务所存在异议的，重点说明异议情况。</w:t>
      </w:r>
    </w:p>
    <w:p>
      <w:pPr>
        <w:widowControl/>
        <w:spacing w:line="560" w:lineRule="exact"/>
        <w:ind w:firstLine="640"/>
        <w:rPr>
          <w:rFonts w:ascii="仿宋" w:hAnsi="仿宋" w:eastAsia="仿宋" w:cs="宋体"/>
          <w:bCs/>
          <w:kern w:val="0"/>
          <w:sz w:val="32"/>
          <w:szCs w:val="32"/>
        </w:rPr>
      </w:pPr>
      <w:r>
        <w:rPr>
          <w:rFonts w:hint="eastAsia" w:ascii="仿宋" w:hAnsi="仿宋" w:eastAsia="仿宋" w:cs="宋体"/>
          <w:bCs/>
          <w:kern w:val="0"/>
          <w:sz w:val="32"/>
          <w:szCs w:val="32"/>
        </w:rPr>
        <w:t>4.说明续聘/变更会计师事务所是否符合财政部、国务院国资委、证监会印发的《国有企业、上市公司选聘会计师事务所管理办法》（财会〔2023〕4号）的规定。</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一、拟续聘/变更会计师事务所的基本情况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（一）机构信息</w:t>
      </w:r>
    </w:p>
    <w:p>
      <w:pPr>
        <w:widowControl/>
        <w:spacing w:line="560" w:lineRule="exact"/>
        <w:ind w:firstLine="640" w:firstLineChars="200"/>
        <w:rPr>
          <w:rFonts w:ascii="仿宋" w:hAnsi="仿宋" w:eastAsia="仿宋" w:cs="仿宋"/>
          <w:sz w:val="32"/>
          <w:szCs w:val="32"/>
        </w:rPr>
      </w:pPr>
      <w:r>
        <w:rPr>
          <w:rFonts w:hint="eastAsia" w:ascii="仿宋" w:hAnsi="仿宋" w:eastAsia="仿宋" w:cs="宋体"/>
          <w:kern w:val="0"/>
          <w:sz w:val="32"/>
          <w:szCs w:val="32"/>
        </w:rPr>
        <w:t>1．基本信息。包括但不限于拟聘任会计师事务所的名称、</w:t>
      </w:r>
      <w:r>
        <w:rPr>
          <w:rFonts w:hint="eastAsia" w:ascii="仿宋" w:hAnsi="仿宋" w:eastAsia="仿宋" w:cs="仿宋"/>
          <w:sz w:val="32"/>
          <w:szCs w:val="32"/>
        </w:rPr>
        <w:t>成立日期、组织形式、注册地址、首席合伙人；上年度末合伙人数量、注册会计师人数、签署过证券服务业务审计报告的注册会计师人数等；最近一年经审计的收入总额、审计业务收入，证券业务收入；上年度</w:t>
      </w:r>
      <w:r>
        <w:rPr>
          <w:rFonts w:hint="eastAsia" w:ascii="仿宋_GB2312" w:hAnsi="仿宋_GB2312" w:eastAsia="仿宋_GB2312" w:cs="仿宋_GB2312"/>
          <w:sz w:val="32"/>
          <w:szCs w:val="32"/>
        </w:rPr>
        <w:t>上市公司</w:t>
      </w:r>
      <w:r>
        <w:rPr>
          <w:rFonts w:hint="eastAsia" w:ascii="仿宋" w:hAnsi="仿宋" w:eastAsia="仿宋" w:cs="仿宋"/>
          <w:sz w:val="32"/>
          <w:szCs w:val="32"/>
        </w:rPr>
        <w:t>审计客户家数、主</w:t>
      </w:r>
      <w:r>
        <w:rPr>
          <w:rFonts w:hint="eastAsia" w:ascii="仿宋" w:hAnsi="仿宋" w:eastAsia="仿宋" w:cs="宋体"/>
          <w:kern w:val="0"/>
          <w:sz w:val="32"/>
          <w:szCs w:val="32"/>
        </w:rPr>
        <w:t>要行业（按照证监会行业分类，下同），审计收费，</w:t>
      </w:r>
      <w:r>
        <w:rPr>
          <w:rFonts w:hint="eastAsia" w:ascii="仿宋" w:hAnsi="仿宋" w:eastAsia="仿宋" w:cs="仿宋"/>
          <w:sz w:val="32"/>
          <w:szCs w:val="32"/>
        </w:rPr>
        <w:t>本公司同行业</w:t>
      </w:r>
      <w:r>
        <w:rPr>
          <w:rFonts w:hint="eastAsia" w:ascii="仿宋_GB2312" w:hAnsi="仿宋_GB2312" w:eastAsia="仿宋_GB2312" w:cs="仿宋_GB2312"/>
          <w:sz w:val="32"/>
          <w:szCs w:val="32"/>
        </w:rPr>
        <w:t>上市公司</w:t>
      </w:r>
      <w:r>
        <w:rPr>
          <w:rFonts w:hint="eastAsia" w:ascii="仿宋" w:hAnsi="仿宋" w:eastAsia="仿宋" w:cs="仿宋"/>
          <w:sz w:val="32"/>
          <w:szCs w:val="32"/>
        </w:rPr>
        <w:t>审计客户家数。</w:t>
      </w:r>
    </w:p>
    <w:p>
      <w:pPr>
        <w:widowControl/>
        <w:spacing w:line="560" w:lineRule="exact"/>
        <w:ind w:firstLine="640" w:firstLineChars="200"/>
        <w:rPr>
          <w:rFonts w:ascii="仿宋" w:hAnsi="仿宋" w:eastAsia="仿宋" w:cs="仿宋"/>
          <w:sz w:val="32"/>
          <w:szCs w:val="32"/>
        </w:rPr>
      </w:pPr>
      <w:r>
        <w:rPr>
          <w:rFonts w:hint="eastAsia" w:ascii="仿宋" w:hAnsi="仿宋" w:eastAsia="仿宋" w:cs="宋体"/>
          <w:kern w:val="0"/>
          <w:sz w:val="32"/>
          <w:szCs w:val="32"/>
        </w:rPr>
        <w:t>2．投资者保护能力。包括但不限于计提的职业风险基金、购买的职业保险累计赔偿限额</w:t>
      </w:r>
      <w:r>
        <w:rPr>
          <w:rFonts w:hint="eastAsia" w:ascii="仿宋" w:hAnsi="仿宋" w:eastAsia="仿宋" w:cs="仿宋"/>
          <w:sz w:val="32"/>
          <w:szCs w:val="32"/>
        </w:rPr>
        <w:t>（可披露区间数）</w:t>
      </w:r>
      <w:r>
        <w:rPr>
          <w:rFonts w:hint="eastAsia" w:ascii="仿宋" w:hAnsi="仿宋" w:eastAsia="仿宋" w:cs="宋体"/>
          <w:kern w:val="0"/>
          <w:sz w:val="32"/>
          <w:szCs w:val="32"/>
        </w:rPr>
        <w:t>，</w:t>
      </w:r>
      <w:r>
        <w:rPr>
          <w:rFonts w:hint="eastAsia" w:ascii="仿宋" w:hAnsi="仿宋" w:eastAsia="仿宋" w:cs="仿宋"/>
          <w:sz w:val="32"/>
          <w:szCs w:val="32"/>
        </w:rPr>
        <w:t>职业风险基金计提或职业保险购买是否符合相关规定；近三年（最近三个完整自然年度及当年，下同）在执业行为相关民事诉讼中承担民事责任的情况，如诉讼主体、目前进展等。</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诚信记录。会计师事务所及其从业人员近三年因执业行为受到刑事处罚，受到证监会及其派出机构、行业主管部门等的行政处罚、监督管理措施，受到证券交易场所、行业协会等自律组织的自律监管措施、纪律处分的总体情况等。</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（二）项目信息</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1．基本信息。项目合伙人、签字注册会计师、项目质量控制复核人何时成为注册会计师、何时开始从事</w:t>
      </w:r>
      <w:r>
        <w:rPr>
          <w:rFonts w:hint="eastAsia" w:ascii="仿宋_GB2312" w:hAnsi="仿宋_GB2312" w:eastAsia="仿宋_GB2312" w:cs="仿宋_GB2312"/>
          <w:sz w:val="32"/>
          <w:szCs w:val="32"/>
        </w:rPr>
        <w:t>上市公司</w:t>
      </w:r>
      <w:r>
        <w:rPr>
          <w:rFonts w:hint="eastAsia" w:ascii="仿宋" w:hAnsi="仿宋" w:eastAsia="仿宋" w:cs="仿宋"/>
          <w:sz w:val="32"/>
          <w:szCs w:val="32"/>
        </w:rPr>
        <w:t>审计、何时开始在本所执业，何时开始为本公司提供审计服务；近三年签署或复核</w:t>
      </w:r>
      <w:r>
        <w:rPr>
          <w:rFonts w:hint="eastAsia" w:ascii="仿宋_GB2312" w:hAnsi="仿宋_GB2312" w:eastAsia="仿宋_GB2312" w:cs="仿宋_GB2312"/>
          <w:sz w:val="32"/>
          <w:szCs w:val="32"/>
        </w:rPr>
        <w:t>上市公司</w:t>
      </w:r>
      <w:r>
        <w:rPr>
          <w:rFonts w:hint="eastAsia" w:ascii="仿宋" w:hAnsi="仿宋" w:eastAsia="仿宋" w:cs="仿宋"/>
          <w:sz w:val="32"/>
          <w:szCs w:val="32"/>
        </w:rPr>
        <w:t>审计报告情况。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诚信记录。项目合伙人、签字注册会计师、项目质量控制复核人近三年因执业行为受到刑事处罚，受到证监会及其派出机构、行业主管部门的行政处罚、监督管理措施，受到证券交易场所、行业协会等自律组织的自律监管措施、纪律处分的具体情况，详见下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852"/>
        <w:gridCol w:w="1496"/>
        <w:gridCol w:w="1687"/>
        <w:gridCol w:w="1306"/>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序号</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姓名</w:t>
            </w:r>
          </w:p>
        </w:tc>
        <w:tc>
          <w:tcPr>
            <w:tcW w:w="87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处理处罚</w:t>
            </w:r>
          </w:p>
          <w:p>
            <w:pPr>
              <w:adjustRightInd w:val="0"/>
              <w:snapToGrid w:val="0"/>
              <w:jc w:val="center"/>
              <w:rPr>
                <w:rFonts w:ascii="仿宋" w:hAnsi="仿宋" w:eastAsia="仿宋"/>
                <w:b/>
                <w:kern w:val="0"/>
                <w:sz w:val="24"/>
              </w:rPr>
            </w:pPr>
            <w:r>
              <w:rPr>
                <w:rFonts w:hint="eastAsia" w:ascii="仿宋" w:hAnsi="仿宋" w:eastAsia="仿宋"/>
                <w:b/>
                <w:kern w:val="0"/>
                <w:sz w:val="24"/>
              </w:rPr>
              <w:t>日期</w:t>
            </w:r>
          </w:p>
        </w:tc>
        <w:tc>
          <w:tcPr>
            <w:tcW w:w="9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处理处罚类型</w:t>
            </w:r>
          </w:p>
        </w:tc>
        <w:tc>
          <w:tcPr>
            <w:tcW w:w="7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实施单位</w:t>
            </w:r>
          </w:p>
        </w:tc>
        <w:tc>
          <w:tcPr>
            <w:tcW w:w="1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kern w:val="0"/>
                <w:sz w:val="24"/>
              </w:rPr>
            </w:pPr>
            <w:r>
              <w:rPr>
                <w:rFonts w:hint="eastAsia" w:ascii="仿宋" w:hAnsi="仿宋" w:eastAsia="仿宋"/>
                <w:b/>
                <w:kern w:val="0"/>
                <w:sz w:val="24"/>
              </w:rPr>
              <w:t>事由及处理处罚</w:t>
            </w:r>
          </w:p>
          <w:p>
            <w:pPr>
              <w:adjustRightInd w:val="0"/>
              <w:snapToGrid w:val="0"/>
              <w:jc w:val="center"/>
              <w:rPr>
                <w:rFonts w:ascii="仿宋" w:hAnsi="仿宋" w:eastAsia="仿宋"/>
                <w:b/>
                <w:kern w:val="0"/>
                <w:sz w:val="24"/>
              </w:rPr>
            </w:pPr>
            <w:r>
              <w:rPr>
                <w:rFonts w:hint="eastAsia" w:ascii="仿宋" w:hAnsi="仿宋" w:eastAsia="仿宋"/>
                <w:b/>
                <w:kern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9"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500"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878"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990"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766"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1387"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9"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500"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878"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990"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766"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c>
          <w:tcPr>
            <w:tcW w:w="1387" w:type="pc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kern w:val="0"/>
                <w:sz w:val="24"/>
              </w:rPr>
            </w:pPr>
          </w:p>
        </w:tc>
      </w:tr>
    </w:tbl>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3．独立性。说明拟聘任会计师事务所及项目合伙人、签字注册会计师、项目质量控制复核人等是否存在可能影响独立性的情形及采取的防范措施。</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4．审计收费。说明本期审计费用及定价原则，较上一期审计费用的变化情况；如审计费用变化超过20%请说明原因。 若审计费用包括内控审计费用，应区分年报审计费用和内控审计费用进行说明。</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5．深交所要求的其他内容。</w:t>
      </w:r>
    </w:p>
    <w:p>
      <w:pPr>
        <w:adjustRightInd w:val="0"/>
        <w:snapToGrid w:val="0"/>
        <w:spacing w:line="600" w:lineRule="exact"/>
        <w:ind w:firstLine="643" w:firstLineChars="200"/>
        <w:rPr>
          <w:rFonts w:ascii="仿宋" w:hAnsi="仿宋" w:eastAsia="仿宋" w:cs="仿宋"/>
          <w:b/>
          <w:sz w:val="32"/>
          <w:szCs w:val="32"/>
        </w:rPr>
      </w:pPr>
      <w:r>
        <w:rPr>
          <w:rFonts w:hint="eastAsia" w:ascii="仿宋" w:hAnsi="仿宋" w:eastAsia="仿宋" w:cs="宋体"/>
          <w:b/>
          <w:kern w:val="0"/>
          <w:sz w:val="32"/>
          <w:szCs w:val="32"/>
        </w:rPr>
        <w:t>二、</w:t>
      </w:r>
      <w:r>
        <w:rPr>
          <w:rFonts w:hint="eastAsia" w:ascii="仿宋" w:hAnsi="仿宋" w:eastAsia="仿宋" w:cs="仿宋"/>
          <w:b/>
          <w:sz w:val="32"/>
          <w:szCs w:val="32"/>
        </w:rPr>
        <w:t>拟变更会计师事务所的情况说明（如适用）</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（一）前任会计师事务所情况及上年度审计意见</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说明前任会计师事务所相关情况，包括名称、已提供审计服务年限、上年度审计意见类型等。是否存在已委托前任会计师事务所开展部分审计工作后解聘前任会计师事务所的情况。</w:t>
      </w:r>
    </w:p>
    <w:p>
      <w:pPr>
        <w:numPr>
          <w:ilvl w:val="0"/>
          <w:numId w:val="4"/>
        </w:num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拟变更会计师事务所原因</w:t>
      </w:r>
    </w:p>
    <w:p>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 xml:space="preserve">    说明拟变更会计师事务所的具体原因，包括但不限于以下情形：前任会计师事务所被立案调查；前任会计师事务所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（三）上市公司与前后任会计师事务所的沟通情况</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说明上市公司与前任会计师事务所的沟通情况，前任会计师事务所如有书面陈述意见应进行披露。说明上市公司是否已允许拟聘任的会计师事务所与前任会计师事务所进行沟通，前后任会计师事务所目前沟通进展等。</w:t>
      </w:r>
    </w:p>
    <w:p>
      <w:pPr>
        <w:spacing w:after="120" w:line="560" w:lineRule="exact"/>
        <w:ind w:left="420" w:leftChars="200" w:firstLine="180" w:firstLineChars="56"/>
        <w:rPr>
          <w:rFonts w:ascii="仿宋" w:hAnsi="仿宋" w:eastAsia="仿宋" w:cs="宋体"/>
          <w:b/>
          <w:bCs/>
          <w:kern w:val="0"/>
          <w:sz w:val="32"/>
          <w:szCs w:val="32"/>
        </w:rPr>
      </w:pPr>
      <w:r>
        <w:rPr>
          <w:rFonts w:hint="eastAsia" w:ascii="仿宋" w:hAnsi="仿宋" w:eastAsia="仿宋" w:cs="宋体"/>
          <w:b/>
          <w:bCs/>
          <w:kern w:val="0"/>
          <w:sz w:val="32"/>
          <w:szCs w:val="32"/>
        </w:rPr>
        <w:t>三、拟续聘/变更会计师事务所履行的程序</w:t>
      </w:r>
    </w:p>
    <w:p>
      <w:pPr>
        <w:adjustRightInd w:val="0"/>
        <w:snapToGrid w:val="0"/>
        <w:spacing w:line="600" w:lineRule="exact"/>
        <w:ind w:firstLine="640" w:firstLineChars="200"/>
        <w:rPr>
          <w:rFonts w:ascii="仿宋" w:hAnsi="仿宋" w:eastAsia="仿宋" w:cs="仿宋"/>
          <w:color w:val="000000"/>
          <w:sz w:val="32"/>
          <w:szCs w:val="32"/>
        </w:rPr>
      </w:pPr>
      <w:r>
        <w:rPr>
          <w:rFonts w:hint="eastAsia" w:ascii="仿宋" w:hAnsi="仿宋" w:eastAsia="仿宋" w:cs="宋体"/>
          <w:kern w:val="0"/>
          <w:sz w:val="32"/>
          <w:szCs w:val="32"/>
        </w:rPr>
        <w:t>（一）审计委员会审议意见</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说明</w:t>
      </w:r>
      <w:r>
        <w:rPr>
          <w:rFonts w:hint="eastAsia" w:ascii="仿宋" w:hAnsi="仿宋" w:eastAsia="仿宋" w:cs="仿宋"/>
          <w:sz w:val="32"/>
          <w:szCs w:val="32"/>
        </w:rPr>
        <w:t>审计委员会在选聘、监督与评价会计师事务所的履职情况及审查意见，包括为评价拟聘任会计师事务所的专业胜任能力、投资者保护能力、诚信状况、独立性、变更会计师事务所理由恰当性（如适用）等进行的具体工作和结论。</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（二）董事会对议案审议和表决情况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说明上市公司董事会对本次聘任会计师事务所相关议案的审议和表决情况。</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（三）生效日期</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说明本次聘任会计师事务所事项尚需提交公司股东大会审议，并自公司股东大会审议通过之日起生效。</w:t>
      </w:r>
    </w:p>
    <w:p>
      <w:pPr>
        <w:spacing w:after="120" w:line="560" w:lineRule="exact"/>
        <w:ind w:left="420" w:leftChars="200" w:firstLine="180" w:firstLineChars="56"/>
        <w:rPr>
          <w:rFonts w:ascii="仿宋" w:hAnsi="仿宋" w:eastAsia="仿宋" w:cs="宋体"/>
          <w:b/>
          <w:bCs/>
          <w:kern w:val="0"/>
          <w:sz w:val="32"/>
          <w:szCs w:val="32"/>
        </w:rPr>
      </w:pPr>
      <w:r>
        <w:rPr>
          <w:rFonts w:hint="eastAsia" w:ascii="仿宋" w:hAnsi="仿宋" w:eastAsia="仿宋" w:cs="宋体"/>
          <w:b/>
          <w:bCs/>
          <w:kern w:val="0"/>
          <w:sz w:val="32"/>
          <w:szCs w:val="32"/>
        </w:rPr>
        <w:t>四、备查文件</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1．董事会决议；</w:t>
      </w:r>
    </w:p>
    <w:p>
      <w:pPr>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2．审计委员会审议意见；</w:t>
      </w:r>
    </w:p>
    <w:p>
      <w:pPr>
        <w:adjustRightInd w:val="0"/>
        <w:snapToGrid w:val="0"/>
        <w:spacing w:line="600" w:lineRule="exact"/>
        <w:ind w:left="1615" w:leftChars="303" w:hanging="979" w:hangingChars="306"/>
        <w:rPr>
          <w:rFonts w:ascii="仿宋" w:hAnsi="仿宋" w:eastAsia="仿宋" w:cs="仿宋"/>
          <w:sz w:val="32"/>
          <w:szCs w:val="32"/>
        </w:rPr>
      </w:pPr>
      <w:r>
        <w:rPr>
          <w:rFonts w:hint="eastAsia" w:ascii="仿宋" w:hAnsi="仿宋" w:eastAsia="仿宋" w:cs="宋体"/>
          <w:bCs/>
          <w:kern w:val="0"/>
          <w:sz w:val="32"/>
          <w:szCs w:val="32"/>
        </w:rPr>
        <w:t>3．</w:t>
      </w:r>
      <w:r>
        <w:rPr>
          <w:rFonts w:hint="eastAsia" w:ascii="仿宋" w:hAnsi="仿宋" w:eastAsia="仿宋" w:cs="仿宋"/>
          <w:sz w:val="32"/>
          <w:szCs w:val="32"/>
        </w:rPr>
        <w:t>拟聘任会计师事务所关于其基本情况的说明；</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宋体"/>
          <w:bCs/>
          <w:kern w:val="0"/>
          <w:sz w:val="32"/>
          <w:szCs w:val="32"/>
        </w:rPr>
        <w:t>4．</w:t>
      </w:r>
      <w:r>
        <w:rPr>
          <w:rFonts w:hint="eastAsia" w:ascii="仿宋" w:hAnsi="仿宋" w:eastAsia="仿宋" w:cs="仿宋"/>
          <w:sz w:val="32"/>
          <w:szCs w:val="32"/>
        </w:rPr>
        <w:t>前任会计师事务所书面陈述意见（如有）；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5．深交所要求的其他文件。</w:t>
      </w:r>
    </w:p>
    <w:p>
      <w:pPr>
        <w:widowControl/>
        <w:spacing w:line="560" w:lineRule="exact"/>
        <w:ind w:firstLine="640" w:firstLineChars="200"/>
        <w:jc w:val="right"/>
        <w:rPr>
          <w:rFonts w:ascii="仿宋" w:hAnsi="仿宋" w:eastAsia="仿宋" w:cs="宋体"/>
          <w:kern w:val="0"/>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right="520" w:firstLine="4160"/>
        <w:jc w:val="right"/>
        <w:rPr>
          <w:rFonts w:ascii="仿宋" w:hAnsi="仿宋" w:eastAsia="仿宋"/>
          <w:sz w:val="32"/>
          <w:szCs w:val="32"/>
        </w:rPr>
      </w:pPr>
    </w:p>
    <w:p>
      <w:pPr>
        <w:keepNext/>
        <w:keepLine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228" w:name="_Toc40795909"/>
      <w:bookmarkStart w:id="229" w:name="_Toc91607647"/>
      <w:bookmarkStart w:id="230" w:name="_Toc40813182"/>
      <w:bookmarkStart w:id="231" w:name="_Toc22276"/>
      <w:bookmarkStart w:id="232" w:name="_Toc138173233"/>
      <w:bookmarkStart w:id="233" w:name="_Toc91781164"/>
      <w:bookmarkStart w:id="234" w:name="_Toc91782445"/>
      <w:bookmarkStart w:id="235" w:name="_Toc60758252"/>
      <w:r>
        <w:rPr>
          <w:rFonts w:hint="eastAsia" w:ascii="方正小标宋简体" w:hAnsi="仿宋" w:eastAsia="方正小标宋简体"/>
          <w:kern w:val="44"/>
          <w:sz w:val="44"/>
          <w:szCs w:val="44"/>
        </w:rPr>
        <w:t>交易类第1号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购买、出售资产公告格式</w:t>
      </w:r>
      <w:bookmarkEnd w:id="228"/>
      <w:bookmarkEnd w:id="229"/>
      <w:bookmarkEnd w:id="230"/>
      <w:bookmarkEnd w:id="231"/>
      <w:bookmarkEnd w:id="232"/>
      <w:bookmarkEnd w:id="233"/>
      <w:bookmarkEnd w:id="234"/>
      <w:bookmarkEnd w:id="235"/>
    </w:p>
    <w:p>
      <w:pPr>
        <w:autoSpaceDE w:val="0"/>
        <w:autoSpaceDN w:val="0"/>
        <w:adjustRightInd w:val="0"/>
        <w:spacing w:line="560" w:lineRule="exact"/>
        <w:jc w:val="center"/>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适用范围：</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格式适用于达到本所《股票上市规则》规定的购买、出售资产标准，但未达到中国证监会《上市公司重大资产重组管理办法》规定的重大资产重组标准的资产交易事项。达到重大资产重组标准的交易事项应根据《上市公司重大资产重组管理办法》等规定履行信息披露义务。</w:t>
      </w:r>
    </w:p>
    <w:p>
      <w:pPr>
        <w:autoSpaceDE w:val="0"/>
        <w:autoSpaceDN w:val="0"/>
        <w:adjustRightInd w:val="0"/>
        <w:spacing w:line="560" w:lineRule="exact"/>
        <w:ind w:firstLine="643" w:firstLineChars="200"/>
        <w:jc w:val="left"/>
        <w:rPr>
          <w:rFonts w:ascii="仿宋" w:hAnsi="仿宋" w:eastAsia="仿宋"/>
          <w:b/>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证券代码：        证券简称：        公告编号：</w:t>
      </w:r>
    </w:p>
    <w:p>
      <w:pPr>
        <w:autoSpaceDE w:val="0"/>
        <w:autoSpaceDN w:val="0"/>
        <w:adjustRightInd w:val="0"/>
        <w:spacing w:line="560" w:lineRule="exact"/>
        <w:jc w:val="center"/>
        <w:rPr>
          <w:rFonts w:ascii="仿宋" w:hAnsi="仿宋" w:eastAsia="仿宋"/>
          <w:b/>
          <w:sz w:val="32"/>
          <w:szCs w:val="32"/>
        </w:rPr>
      </w:pPr>
      <w:r>
        <w:rPr>
          <w:rFonts w:hint="eastAsia" w:ascii="仿宋" w:hAnsi="仿宋" w:eastAsia="仿宋"/>
          <w:sz w:val="32"/>
          <w:szCs w:val="32"/>
        </w:rPr>
        <w:t>XXXXXX股份有限公司购买、出售资产公告</w:t>
      </w:r>
    </w:p>
    <w:p>
      <w:pPr>
        <w:spacing w:line="560" w:lineRule="exact"/>
        <w:ind w:firstLine="560"/>
        <w:rPr>
          <w:rFonts w:ascii="仿宋" w:hAnsi="仿宋" w:eastAsia="仿宋"/>
          <w:sz w:val="32"/>
          <w:szCs w:val="32"/>
        </w:rPr>
      </w:pPr>
      <w:r>
        <w:rPr>
          <w:rFonts w:hint="eastAsia"/>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60325</wp:posOffset>
                </wp:positionV>
                <wp:extent cx="5915025" cy="1628775"/>
                <wp:effectExtent l="0" t="0" r="28575" b="28575"/>
                <wp:wrapNone/>
                <wp:docPr id="231" name="矩形 231"/>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4.75pt;height:128.25pt;width:465.75pt;mso-position-horizontal:center;mso-position-horizontal-relative:margin;z-index:251681792;mso-width-relative:page;mso-height-relative:page;" fillcolor="#FFFFFF" filled="t" stroked="t" coordsize="21600,21600" o:gfxdata="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4E16dUAAAAGAQAADwAAAAAAAAABACAAAAAiAAAAZHJzL2Rvd25yZXYu&#10;eG1sUEsBAhQAFAAAAAgAh07iQJMP3UM3AgAAfwQAAA4AAAAAAAAAAQAgAAAAJA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560"/>
        <w:rPr>
          <w:rFonts w:ascii="仿宋" w:hAnsi="仿宋" w:eastAsia="仿宋"/>
          <w:sz w:val="32"/>
          <w:szCs w:val="32"/>
        </w:rPr>
      </w:pPr>
    </w:p>
    <w:p>
      <w:pPr>
        <w:spacing w:line="560" w:lineRule="exact"/>
        <w:ind w:firstLine="560"/>
        <w:rPr>
          <w:rFonts w:ascii="仿宋" w:hAnsi="仿宋" w:eastAsia="仿宋"/>
          <w:sz w:val="32"/>
          <w:szCs w:val="32"/>
        </w:rPr>
      </w:pPr>
    </w:p>
    <w:p>
      <w:pPr>
        <w:spacing w:line="560" w:lineRule="exact"/>
        <w:ind w:firstLine="560"/>
        <w:rPr>
          <w:rFonts w:ascii="仿宋" w:hAnsi="仿宋" w:eastAsia="仿宋"/>
          <w:sz w:val="32"/>
          <w:szCs w:val="32"/>
        </w:rPr>
      </w:pPr>
    </w:p>
    <w:p>
      <w:pPr>
        <w:adjustRightInd w:val="0"/>
        <w:snapToGrid w:val="0"/>
        <w:spacing w:line="560" w:lineRule="exact"/>
        <w:ind w:firstLine="643" w:firstLineChars="200"/>
        <w:rPr>
          <w:rFonts w:ascii="仿宋" w:hAnsi="仿宋" w:eastAsia="仿宋"/>
          <w:b/>
          <w:sz w:val="32"/>
          <w:szCs w:val="32"/>
        </w:rPr>
      </w:pP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特别提示（如适用）：</w:t>
      </w:r>
      <w:r>
        <w:rPr>
          <w:rFonts w:hint="eastAsia" w:ascii="仿宋" w:hAnsi="仿宋" w:eastAsia="仿宋"/>
          <w:sz w:val="32"/>
          <w:szCs w:val="32"/>
        </w:rPr>
        <w:t>本次交易存在重大交易风险，或交易完成后对上市公司产生较大风险的，应当以“特别提示”的形式逐项披露交易风险和交易完成后可能给上市公司带来的风险因素：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1．交易风险通常包括标的资产估值风险、标的资产盈利能力波动风险、盈利预测的风险、审批风险、本次交易价格与历史交易价格存在较大差异的风险、标的资产权属风险等。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2．交易完成后对上市公司的风险通常包括市场风险、经营风险、技术风险、汇率风险、政策风险、公司治理与内部控制风险等。</w:t>
      </w:r>
    </w:p>
    <w:p>
      <w:pPr>
        <w:spacing w:line="560" w:lineRule="exact"/>
        <w:ind w:firstLine="562"/>
        <w:rPr>
          <w:rFonts w:ascii="仿宋" w:hAnsi="仿宋" w:eastAsia="仿宋"/>
          <w:b/>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一、交易概述</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简要介绍购买、出售资产交易的基本情况，包括交易各方当事人名称、交易标的名称（如是购买、出售股权的，必须说明公司持股比例）、交易事项（购买、出售资产）、购买或出售资产价格、是否构成关联交易、是否构成《上市公司重大资产重组管理办法》规定的重大资产重组、交易协议签署日期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简要说明董事会审议购买、出售资产议案的表决情况；交易生效所必需的审批及其他程序（如是否需经过股东大会或有关部门批准、是否需征得债权人同意、是否需征得其他第三方同意等）以及公司履行程序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3．如交易实施所必须的审批及其他相关程序尚未完成，或交易尚存在重大法律障碍（如作为交易标的的资产权属不清等），应作出详细说明。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4．对于按照累计计算原则达到《股票上市规则》相关披露或审议标准的交易，应当简要介绍各单项交易情况和累计情况。</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二、交易对方的基本情况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交易对方是法人或其他组织的，应说明企业名称、企业性质、注册地、主要办公地点、法定代表人、注册资本、统一社会信用代码、主营业务、主要股东，相关交易需获股东大会批准的还应披露其实际控制人；交易对手是自然人的，应说明姓名、住所（可披露至X市X区）、就职单位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2．交易对方与上市公司及上市公司前十名股东在产权、业务、资产、债权债务、人员等方面的关系以及其他可能或已经造成上市公司对其利益倾斜的其他关系。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3．上市公司出售资产的，应当披露交易对方最近一年的主要财务数据；如果交易对方成立时间不足一年或是专为本次交易而设立的，则应当披露交易对方的实际控制人或者控股方的主要财务数据。</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4．交易对手方是否为失信被执行人，如是，应进一步披露其失信情况、受到的惩戒措施、对本次交易的影响，以及公司所采取的应对措施等。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三、交易标的基本情况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1．标的资产概况：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逐项列明购买和出售资产的名称、类别（固定资产、无形资产、股权投资等）、权属（包括有关资产是否存在抵押、质押或者其他第三人权利、是否存在涉及有关资产的重大争议、诉讼或仲裁事项、是否存在查封、冻结等司法措施等）、所在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（2）该项资产的</w:t>
      </w:r>
      <w:bookmarkStart w:id="236" w:name="OLE_LINK39"/>
      <w:bookmarkStart w:id="237" w:name="OLE_LINK40"/>
      <w:r>
        <w:rPr>
          <w:rFonts w:hint="eastAsia" w:ascii="仿宋" w:hAnsi="仿宋" w:eastAsia="仿宋"/>
          <w:sz w:val="32"/>
          <w:szCs w:val="32"/>
        </w:rPr>
        <w:t>账</w:t>
      </w:r>
      <w:bookmarkEnd w:id="236"/>
      <w:bookmarkEnd w:id="237"/>
      <w:r>
        <w:rPr>
          <w:rFonts w:hint="eastAsia" w:ascii="仿宋" w:hAnsi="仿宋" w:eastAsia="仿宋"/>
          <w:sz w:val="32"/>
          <w:szCs w:val="32"/>
        </w:rPr>
        <w:t>面价值（包括账面原值、已计提的折旧或准备、账面净值）和评估价值等；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该项交易需获得股东大会批准的，还应当披露标的及其核心资产的历史沿革，出让方获得该项资产的时间、方式和价格，运营情况（包括出让方经营该项资产的时间、该项资产投入使用的时间、最近一年运作状况及其他需要特别说明的事项如购买出售的房屋结构、与购买出售使用权有关的地块周边土地的用途等），近三年又一期的股权变动及评估情况，如相关股权变动评估价值或交易价格与本次交易评估值或交易价格存在较大差异的，说明差异原因及合理性。需提交股东大会的购买资产类关联交易，还应当披露交易标的主要业务模式和盈利模式、客户集中度、现有关联交易情况及减少关联交易的措施等。上市公司历史上就同一标的进行方向相反交易的，对照历史披露情况，分析说明反向交易的必要性、价格的合理性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购买、出售标的如为公司股权，披露内容还应包括该公司主要股东及各自持股比例、主营业务、注册资本、设立时间、注册地等基本情况，有优先受让权的其他股东是否放弃优先受让权，以及该公司最近一年及最近一期经审计的资产总额、负债总额、应收款项总额、或有事项涉及的总额（包括担保、诉讼与仲裁事项）、净资产、营业收入、营业利润、净利润和经营活动产生的现金流量净额等财务数据（注明是否经审计）。如存在该标的公司净利润中包含较大比例的非经常性损益、拟购买标的公司亏损或盈利能力低于上市公司等情形的，应予以特别说明，并详细披露交易的必要性。</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购买标的如为公司股权的，应当说明该公司章程或其他文件中是否存在法律法规之外其他限制股东权利的条款（如有限责任公司部分股东不享有优先受让权等），如有，予以详细披露并进行重大风险提示，公司董事会充分分析其影响，并说明是否损害上市公司利益。购买标的为公司参股权且涉及关联交易的，应分析说明未购买控股权的原因、如何保证上市公司利益以及是否存在后续增持计划。</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4．交易标的如为公司股权的，应披露该公司是否为失信被执行人，如是，应进一步披露其失信情况、受到的惩戒措施、对本次交易的影响，以及公司所采取的应对措施等。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5．上市公司购买、出售标的资产为矿业权或其主要资产为矿业权的公司股权的，深交所对其披露要求另有规定的，还应遵循相关规定详细披露取得或出让矿业权资产的情况。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w:t>
      </w:r>
      <w:bookmarkStart w:id="238" w:name="OLE_LINK134"/>
      <w:r>
        <w:rPr>
          <w:rFonts w:hint="eastAsia" w:ascii="仿宋" w:hAnsi="仿宋" w:eastAsia="仿宋"/>
          <w:sz w:val="32"/>
          <w:szCs w:val="32"/>
        </w:rPr>
        <w:t>．根据有关法律法规</w:t>
      </w:r>
      <w:bookmarkEnd w:id="238"/>
      <w:r>
        <w:rPr>
          <w:rFonts w:hint="eastAsia" w:ascii="仿宋" w:hAnsi="仿宋" w:eastAsia="仿宋"/>
          <w:sz w:val="32"/>
          <w:szCs w:val="32"/>
        </w:rPr>
        <w:t>、本所《股票上市规则》等规定，上市公司需要对相关标的进行审计、评估的，应当由符合《证券法》规定的会计师事务所、资产评估机构等专业机构进行，并披露相关机构的名称、是否从事过证券服务业务，并将审计报告和评估报告单独披露；如审计报告为带有解释性说明的无保留意见，</w:t>
      </w:r>
      <w:bookmarkStart w:id="239" w:name="OLE_LINK136"/>
      <w:bookmarkStart w:id="240" w:name="OLE_LINK135"/>
      <w:r>
        <w:rPr>
          <w:rFonts w:hint="eastAsia" w:ascii="仿宋" w:hAnsi="仿宋" w:eastAsia="仿宋"/>
          <w:sz w:val="32"/>
          <w:szCs w:val="32"/>
        </w:rPr>
        <w:t>应详细披露涉及的相关事项及其具体影响</w:t>
      </w:r>
      <w:bookmarkEnd w:id="239"/>
      <w:bookmarkEnd w:id="240"/>
      <w:r>
        <w:rPr>
          <w:rFonts w:hint="eastAsia" w:ascii="仿宋" w:hAnsi="仿宋" w:eastAsia="仿宋"/>
          <w:sz w:val="32"/>
          <w:szCs w:val="32"/>
        </w:rPr>
        <w:t>；如深交所对其披露要求另有规定的，还应遵循相关规定。</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上市公司购买或出售资产事项涉及资产评估事项的，应当披露评估机构名称、评估基准日、评估方法，并以评估前后对照的方式列示评估结果。评估基准日至相关评估结果披露日期间，发生可能对评估结论产生重大影响的事项的，上市公司应当充分披露相关事项对评估结论的影响程度，并结合资产评估报告书“特别事项说明”的相关事项，在公告中充分提示资产评估事项的风险。</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对于需提交股东大会审议的购买或出售资产事项，涉及的交易标的评估值与账面值相比增值超过100%或减值超过50%，或者与过去三年内历史交易价格差异超过100%的，上市公司应当根据所采用的不同评估方法分别详细披露其原因及评估结果的推算过程。</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（1）采用收益法进行评估的，上市公司应当详细披露价值分析原理、计算模型及采用的折现率等重要评估参数，预期各年度收益或现金流量等重要评估依据，充分说明有关参数、评估依据确定的理由。</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评估报告所采用的预期产品产销量、销售价格、收益或现金流量等评估依据与评估标的已实现的历史数据存在重大差异或与有关变动趋势相背离的，上市公司应当详细解释该评估依据的合理性，提供相关证明材料，并予以披露。相关资产在后续经营过程中，可能受到国家法律法规更加严格的规制，或者受到自然因素、经济因素、技术因素的严重制约等，导致相关评估标的在未来年度能否实现预期收入、收益或现金流量存在重大不确定性的，上市公司应当详细披露相应解决措施，并充分提示相关风险。</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采用市场法进行评估的，上市公司应当明确说明评估标的存在活跃市场、相似参照物、可比量化指标和技术经济参数等情况，详细披露具有合理比较基础的可比交易案例，以及根据宏观经济、交易条件、行业状况的变化，和评估标的收益能力、竞争能力、技术水平、地理位置、时间因素等对可比交易案例作出的调整，从而得出评估结论的过程。</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（3）采用成本法进行评估的，上市公司应当充分披露重置成本中重大成本项目的构成情况，现行价格、费用标准与原始成本存在重大差异的，还应当详细解释其原因。</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（4）采用多种评估方法进行评估，并按照一定的价值分析原理或计算模型等方法综合确定交易标的评估值的，上市公司还应当充分披露该等方法的合理性及其理由。</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8．如上市公司购买、出售资产交易中涉及债权债务转移，应详细介绍该项债权债务发生时的决策程序及该项债权债务的基本情况，包括债权债务人名称、债权债务金额、期限、发生日期、发生原因等。对转移债务的，还应当说明已经取得债权人的书面认可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9．购买、出售公司股权导致上市公司合并报表范围变更的，应当披露：</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上市公司是否存在为拟出售股权的标的公司提供担保、财务资助、委托该标的公司理财，以及其他该标的公司占用上市公司资金的情况；该标的公司与上市公司经营性往来情况，包括不限于往来对象、余额、结算期限等，并说明交易完成后是否存在以经营性资金往来的形式变相为他人提供财务资助情形；</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（2）拟购买股权的标的公司是否存在为他人提供担保、财务资助等情况。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该标的公司与交易对手方经营性往来情况，包括不限于往来对象、余额、结算期限等，并说明交易完成后是否存在以经营性资金往来的形式变相为交易对手方提供财务资助情形。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存在上述情况的，应当披露相关事项涉及的交易对手方及金额、对上市公司的影响和解决措施。交易完成后上市公司存在对关联方提供担保的，应当就关联担保履行相应审议程序及披露义务，关联股东应当回避表决。董事会或股东大会未审议通过关联担保的，交易各方应当采取提前终止担保等有效措施避免形成违规关联担保。因购买或出售股权导致交易完成后控股股东、实际控制人及其关联人对上市公司形成非经营性资金占用的，应当在公告中明确合理的解决方案，并在相关交易实施完成前解决，避免形成非经营性资金占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四、交易协议的主要内容</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1．成交金额、支付方式（如现金、股权、资产置换等）、支付期限或分期付款的安排、协议的生效条件、生效时间以及有效期限等；交易协议生效附条件或附期限的，应当予以特别说明。</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2．交易需经股东大会或有权部门批准的，还应当说明需履行的合法程序及其进展情况。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3．交易定价依据，成交价格与账面值、评估值差异较大的，董事会应当说明原因。</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4．支出款项的资金来源。</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5．交易标的的交付状态、交付和过户时间；存在过渡期安排的，还应当对过渡期相关标的资产产生的损益归属作出明确说明。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五、涉及购买、出售资产的其他安排</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主要介绍购买、出售资产所涉及的人员安置、土地租赁、债务重组等情况，交易完成后可能产生关联交易的说明；是否与关联人产生同业竞争的说明以及解决措施，购买资产后是否做到与控股股东及其关联人在人员、资产、财务上分开及具体计划；出售资产所得款项的用途；购买资产是否与募集说明书所列示的项目有关。</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本次购买、出售资产交易还伴随有上市公司股权转让或者高层人事变动计划等其他安排的，应披露这些安排的具体内容。如上市公司因这些安排导致交易对方成为潜在关联人的，还应当按“上市公司关联交易公告格式”的要求披露。</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六、购买、出售资产的目的和对公司的影响</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属于出售资产情况，应披露出售资产的原因、该项交易本身预计获得的损益及对上市公司本期和未来财务状况和经营成果的影响；如属购买资产情况，应披露购买的意图和该项交易对上市公司本期和未来财务状况和经营成果的影响。</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交易涉及对方或他方向上市公司支付款项的，董事会应当结合付款方主要财务数据和资信情况对付款方的履约能力及该等款项收回的或有风险作出判断和说明。</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七、如属于关联交易，还应当参照“上市公司关联交易公告格式”的要求披露有关内容。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八、中介机构结论性意见（如适用）</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上市公司在购买、出售资产中聘任中介机构出具专业意见的，应明确披露中介机构对本次资产交易的结论性意见。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九、其他（如适用）</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深交所或公司董事会认为有助于说明交易实质的其他内容。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2．监事会决议（如适用）；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3．意向书、协议或合同；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4．购买或出售资产的财务报表；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5．审计报告（如适用）；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6．评估报告（如适用）；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7．法律意见书（如适用）；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8．财务顾问报告（如适用）；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9．有权机构的批文（如适用）；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10．交易对方的实际持有人介绍并附出资人持股结构图（如适用）；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11．上市公司交易情况概述表；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12．深交所要求的其他文件。</w:t>
      </w:r>
    </w:p>
    <w:p>
      <w:pPr>
        <w:tabs>
          <w:tab w:val="left" w:pos="1260"/>
        </w:tabs>
        <w:autoSpaceDE w:val="0"/>
        <w:autoSpaceDN w:val="0"/>
        <w:adjustRightInd w:val="0"/>
        <w:spacing w:line="560" w:lineRule="exact"/>
        <w:ind w:firstLine="4200"/>
        <w:rPr>
          <w:rFonts w:ascii="仿宋" w:hAnsi="仿宋" w:eastAsia="仿宋"/>
          <w:b/>
          <w:sz w:val="32"/>
          <w:szCs w:val="32"/>
        </w:rPr>
      </w:pPr>
    </w:p>
    <w:p>
      <w:pPr>
        <w:tabs>
          <w:tab w:val="left" w:pos="1260"/>
        </w:tabs>
        <w:autoSpaceDE w:val="0"/>
        <w:autoSpaceDN w:val="0"/>
        <w:adjustRightInd w:val="0"/>
        <w:spacing w:line="560" w:lineRule="exact"/>
        <w:ind w:firstLine="420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620"/>
        <w:rPr>
          <w:rFonts w:ascii="黑体" w:hAnsi="黑体" w:eastAsia="黑体"/>
          <w:bCs/>
          <w:sz w:val="32"/>
          <w:szCs w:val="32"/>
        </w:rPr>
      </w:pPr>
      <w:r>
        <w:rPr>
          <w:rFonts w:hint="eastAsia" w:ascii="仿宋" w:hAnsi="仿宋" w:eastAsia="仿宋"/>
          <w:sz w:val="32"/>
          <w:szCs w:val="32"/>
        </w:rPr>
        <w:t>XXXX年XX月XX日</w:t>
      </w:r>
      <w:r>
        <w:rPr>
          <w:rFonts w:hint="eastAsia" w:ascii="黑体" w:hAnsi="黑体" w:eastAsia="黑体"/>
          <w:bCs/>
          <w:sz w:val="32"/>
          <w:szCs w:val="32"/>
        </w:rPr>
        <w:br w:type="page"/>
      </w:r>
    </w:p>
    <w:p>
      <w:pPr>
        <w:widowControl/>
        <w:jc w:val="left"/>
        <w:rPr>
          <w:rFonts w:ascii="黑体" w:hAnsi="黑体" w:eastAsia="黑体"/>
          <w:bCs/>
          <w:sz w:val="32"/>
          <w:szCs w:val="32"/>
        </w:rPr>
      </w:pPr>
      <w:r>
        <w:rPr>
          <w:rFonts w:hint="eastAsia" w:ascii="黑体" w:hAnsi="黑体" w:eastAsia="黑体"/>
          <w:bCs/>
          <w:sz w:val="32"/>
          <w:szCs w:val="32"/>
        </w:rPr>
        <w:t>附件</w:t>
      </w:r>
    </w:p>
    <w:p>
      <w:pPr>
        <w:widowControl/>
        <w:jc w:val="left"/>
        <w:rPr>
          <w:rFonts w:ascii="黑体" w:hAnsi="黑体" w:eastAsia="黑体"/>
          <w:bCs/>
          <w:sz w:val="32"/>
          <w:szCs w:val="32"/>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上市公司交易情况概述表</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699"/>
        <w:gridCol w:w="1674"/>
        <w:gridCol w:w="1132"/>
        <w:gridCol w:w="1262"/>
        <w:gridCol w:w="747"/>
        <w:gridCol w:w="12"/>
        <w:gridCol w:w="791"/>
        <w:gridCol w:w="19"/>
        <w:gridCol w:w="61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41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交易类型</w:t>
            </w:r>
          </w:p>
        </w:tc>
        <w:tc>
          <w:tcPr>
            <w:tcW w:w="98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计算指标分子</w:t>
            </w:r>
          </w:p>
        </w:tc>
        <w:tc>
          <w:tcPr>
            <w:tcW w:w="6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（万元）</w:t>
            </w:r>
          </w:p>
        </w:tc>
        <w:tc>
          <w:tcPr>
            <w:tcW w:w="7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计算指标分母</w:t>
            </w:r>
          </w:p>
        </w:tc>
        <w:tc>
          <w:tcPr>
            <w:tcW w:w="43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金额（万元）</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占比（%）</w:t>
            </w:r>
          </w:p>
        </w:tc>
        <w:tc>
          <w:tcPr>
            <w:tcW w:w="3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是否需披露</w:t>
            </w:r>
          </w:p>
        </w:tc>
        <w:tc>
          <w:tcPr>
            <w:tcW w:w="4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是否需股东大会审议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2"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该次交易</w:t>
            </w:r>
          </w:p>
        </w:tc>
        <w:tc>
          <w:tcPr>
            <w:tcW w:w="41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交易涉及的资产总额(账面值和评估值孰高)</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上市公司最近一期经审计总资产</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交易涉及的资产净额(账面值和评估值孰高)</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上市公司最近一期经审计净资产</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交易标的</w:t>
            </w:r>
            <w:r>
              <w:rPr>
                <w:rFonts w:hint="eastAsia" w:ascii="仿宋" w:hAnsi="仿宋" w:eastAsia="仿宋"/>
                <w:kern w:val="0"/>
                <w:sz w:val="24"/>
                <w:szCs w:val="24"/>
              </w:rPr>
              <w:t>(</w:t>
            </w:r>
            <w:r>
              <w:rPr>
                <w:rFonts w:hint="eastAsia" w:ascii="仿宋" w:hAnsi="仿宋" w:eastAsia="仿宋" w:cs="宋体"/>
                <w:kern w:val="0"/>
                <w:sz w:val="24"/>
                <w:szCs w:val="24"/>
              </w:rPr>
              <w:t>如股权</w:t>
            </w:r>
            <w:r>
              <w:rPr>
                <w:rFonts w:hint="eastAsia" w:ascii="仿宋" w:hAnsi="仿宋" w:eastAsia="仿宋"/>
                <w:kern w:val="0"/>
                <w:sz w:val="24"/>
                <w:szCs w:val="24"/>
              </w:rPr>
              <w:t>)</w:t>
            </w:r>
            <w:r>
              <w:rPr>
                <w:rFonts w:hint="eastAsia" w:ascii="仿宋" w:hAnsi="仿宋" w:eastAsia="仿宋" w:cs="宋体"/>
                <w:kern w:val="0"/>
                <w:sz w:val="24"/>
                <w:szCs w:val="24"/>
              </w:rPr>
              <w:t>最近一个会计年度相关营业收入</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上市公司最近一个会计年度经审计营业收入</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交易标的</w:t>
            </w:r>
            <w:r>
              <w:rPr>
                <w:rFonts w:hint="eastAsia" w:ascii="仿宋" w:hAnsi="仿宋" w:eastAsia="仿宋"/>
                <w:kern w:val="0"/>
                <w:sz w:val="24"/>
                <w:szCs w:val="24"/>
              </w:rPr>
              <w:t>(</w:t>
            </w:r>
            <w:r>
              <w:rPr>
                <w:rFonts w:hint="eastAsia" w:ascii="仿宋" w:hAnsi="仿宋" w:eastAsia="仿宋" w:cs="宋体"/>
                <w:kern w:val="0"/>
                <w:sz w:val="24"/>
                <w:szCs w:val="24"/>
              </w:rPr>
              <w:t>如股权</w:t>
            </w:r>
            <w:r>
              <w:rPr>
                <w:rFonts w:hint="eastAsia" w:ascii="仿宋" w:hAnsi="仿宋" w:eastAsia="仿宋"/>
                <w:kern w:val="0"/>
                <w:sz w:val="24"/>
                <w:szCs w:val="24"/>
              </w:rPr>
              <w:t>)</w:t>
            </w:r>
            <w:r>
              <w:rPr>
                <w:rFonts w:hint="eastAsia" w:ascii="仿宋" w:hAnsi="仿宋" w:eastAsia="仿宋" w:cs="宋体"/>
                <w:kern w:val="0"/>
                <w:sz w:val="24"/>
                <w:szCs w:val="24"/>
              </w:rPr>
              <w:t>最近一个会计年度相关净利润</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上市公司最近一个会计年度经审计净利润</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交易成交金额</w:t>
            </w:r>
          </w:p>
          <w:p>
            <w:pPr>
              <w:widowControl/>
              <w:rPr>
                <w:rFonts w:ascii="仿宋" w:hAnsi="仿宋" w:eastAsia="仿宋" w:cs="宋体"/>
                <w:kern w:val="0"/>
                <w:sz w:val="24"/>
                <w:szCs w:val="24"/>
              </w:rPr>
            </w:pPr>
            <w:r>
              <w:rPr>
                <w:rFonts w:hint="eastAsia" w:ascii="仿宋" w:hAnsi="仿宋" w:eastAsia="仿宋" w:cs="宋体"/>
                <w:kern w:val="0"/>
                <w:sz w:val="24"/>
                <w:szCs w:val="24"/>
              </w:rPr>
              <w:t>（含承担债务和费用）</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上市公司最近一期经审计净资产</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交易产生的利润</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上市公司最近一个会计年度经审计净利润</w:t>
            </w:r>
          </w:p>
        </w:tc>
        <w:tc>
          <w:tcPr>
            <w:tcW w:w="438"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82"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36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累积计算（十二个月内）</w:t>
            </w:r>
          </w:p>
        </w:tc>
        <w:tc>
          <w:tcPr>
            <w:tcW w:w="41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kern w:val="0"/>
                <w:sz w:val="24"/>
                <w:szCs w:val="24"/>
              </w:rPr>
            </w:pPr>
            <w:r>
              <w:rPr>
                <w:rFonts w:hint="eastAsia" w:ascii="仿宋" w:hAnsi="仿宋" w:eastAsia="仿宋" w:cs="宋体"/>
                <w:b/>
                <w:kern w:val="0"/>
                <w:sz w:val="24"/>
                <w:szCs w:val="24"/>
              </w:rPr>
              <w:t>购买、出售资产</w:t>
            </w:r>
          </w:p>
        </w:tc>
        <w:tc>
          <w:tcPr>
            <w:tcW w:w="98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资产总额、交易金额累积额孰高</w:t>
            </w:r>
          </w:p>
        </w:tc>
        <w:tc>
          <w:tcPr>
            <w:tcW w:w="66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74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上市公司最近一期经审计总资产</w:t>
            </w:r>
          </w:p>
        </w:tc>
        <w:tc>
          <w:tcPr>
            <w:tcW w:w="445"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64"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24"/>
              </w:rPr>
            </w:pPr>
          </w:p>
        </w:tc>
        <w:tc>
          <w:tcPr>
            <w:tcW w:w="372" w:type="pct"/>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0"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24"/>
              </w:rPr>
            </w:pPr>
          </w:p>
        </w:tc>
      </w:tr>
    </w:tbl>
    <w:p>
      <w:pPr>
        <w:widowControl/>
        <w:spacing w:line="360" w:lineRule="auto"/>
        <w:jc w:val="left"/>
        <w:rPr>
          <w:rFonts w:ascii="仿宋" w:hAnsi="仿宋" w:eastAsia="仿宋" w:cs="宋体"/>
          <w:b/>
          <w:bCs/>
          <w:kern w:val="0"/>
          <w:sz w:val="32"/>
          <w:szCs w:val="32"/>
        </w:rPr>
        <w:sectPr>
          <w:pgSz w:w="11906" w:h="16838"/>
          <w:pgMar w:top="1440" w:right="1800" w:bottom="1440" w:left="1800" w:header="851" w:footer="992" w:gutter="0"/>
          <w:cols w:space="720" w:num="1"/>
          <w:docGrid w:type="lines" w:linePitch="312" w:charSpace="0"/>
        </w:sectPr>
      </w:pPr>
    </w:p>
    <w:p>
      <w:pPr>
        <w:widowControl/>
        <w:spacing w:line="360" w:lineRule="auto"/>
        <w:jc w:val="left"/>
        <w:rPr>
          <w:rFonts w:ascii="仿宋" w:hAnsi="仿宋" w:eastAsia="仿宋" w:cs="宋体"/>
          <w:b/>
          <w:bCs/>
          <w:kern w:val="0"/>
          <w:szCs w:val="21"/>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241" w:name="_Toc430016268"/>
      <w:bookmarkStart w:id="242" w:name="_Toc2189883"/>
      <w:bookmarkStart w:id="243" w:name="_Toc40795915"/>
      <w:bookmarkStart w:id="244" w:name="_Toc15391891"/>
      <w:bookmarkStart w:id="245" w:name="_Toc2348627"/>
      <w:bookmarkStart w:id="246" w:name="_Toc527123118"/>
      <w:bookmarkStart w:id="247" w:name="_Toc2179899"/>
      <w:bookmarkStart w:id="248" w:name="_Toc2189116"/>
      <w:bookmarkStart w:id="249" w:name="_Toc40813187"/>
      <w:bookmarkStart w:id="250" w:name="_Toc60758257"/>
      <w:bookmarkStart w:id="251" w:name="_Toc91607648"/>
      <w:bookmarkStart w:id="252" w:name="_Toc138173234"/>
      <w:bookmarkStart w:id="253" w:name="_Toc27088"/>
      <w:bookmarkStart w:id="254" w:name="_Toc91782446"/>
      <w:bookmarkStart w:id="255" w:name="_Toc91781165"/>
      <w:r>
        <w:rPr>
          <w:rFonts w:hint="eastAsia" w:ascii="方正小标宋简体" w:hAnsi="仿宋" w:eastAsia="方正小标宋简体"/>
          <w:kern w:val="44"/>
          <w:sz w:val="44"/>
          <w:szCs w:val="44"/>
        </w:rPr>
        <w:t>交易类第2号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对外（含委托）投资</w:t>
      </w:r>
      <w:bookmarkEnd w:id="241"/>
      <w:bookmarkEnd w:id="242"/>
      <w:bookmarkEnd w:id="243"/>
      <w:bookmarkEnd w:id="244"/>
      <w:bookmarkEnd w:id="245"/>
      <w:bookmarkEnd w:id="246"/>
      <w:bookmarkEnd w:id="247"/>
      <w:bookmarkEnd w:id="248"/>
      <w:r>
        <w:rPr>
          <w:rFonts w:hint="eastAsia" w:ascii="方正小标宋简体" w:hAnsi="仿宋" w:eastAsia="方正小标宋简体"/>
          <w:kern w:val="44"/>
          <w:sz w:val="44"/>
          <w:szCs w:val="44"/>
        </w:rPr>
        <w:t>公告格式</w:t>
      </w:r>
      <w:bookmarkEnd w:id="249"/>
      <w:bookmarkEnd w:id="250"/>
      <w:bookmarkEnd w:id="251"/>
      <w:bookmarkEnd w:id="252"/>
      <w:bookmarkEnd w:id="253"/>
      <w:bookmarkEnd w:id="254"/>
      <w:bookmarkEnd w:id="255"/>
    </w:p>
    <w:p>
      <w:pPr>
        <w:spacing w:line="560" w:lineRule="exact"/>
        <w:rPr>
          <w:rFonts w:ascii="仿宋" w:hAnsi="仿宋" w:eastAsia="仿宋"/>
          <w:sz w:val="32"/>
          <w:szCs w:val="32"/>
        </w:rPr>
      </w:pPr>
    </w:p>
    <w:p>
      <w:pPr>
        <w:autoSpaceDE w:val="0"/>
        <w:autoSpaceDN w:val="0"/>
        <w:adjustRightInd w:val="0"/>
        <w:spacing w:line="560" w:lineRule="exact"/>
        <w:ind w:firstLine="992" w:firstLineChars="310"/>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XXXXXX股份有限公司对外（或委托）投资公告</w:t>
      </w:r>
    </w:p>
    <w:p>
      <w:pPr>
        <w:tabs>
          <w:tab w:val="left" w:pos="900"/>
        </w:tabs>
        <w:spacing w:line="560" w:lineRule="exact"/>
        <w:ind w:firstLine="562"/>
        <w:rPr>
          <w:rFonts w:ascii="仿宋" w:hAnsi="仿宋" w:eastAsia="仿宋" w:cs="宋体"/>
          <w:kern w:val="0"/>
          <w:sz w:val="32"/>
          <w:szCs w:val="32"/>
        </w:rPr>
      </w:pPr>
      <w:r>
        <w:rPr>
          <w:rFonts w:hint="eastAsia"/>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111125</wp:posOffset>
                </wp:positionV>
                <wp:extent cx="5915025" cy="1628775"/>
                <wp:effectExtent l="0" t="0" r="28575" b="28575"/>
                <wp:wrapNone/>
                <wp:docPr id="230" name="矩形 230"/>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75pt;height:128.25pt;width:465.75pt;mso-position-horizontal:center;mso-position-horizontal-relative:margin;z-index:251682816;mso-width-relative:page;mso-height-relative:page;" fillcolor="#FFFFFF" filled="t" stroked="t" coordsize="21600,21600" o:gfxdata="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FuES1gAAAAcBAAAPAAAAAAAAAAEAIAAAACIAAABkcnMvZG93bnJl&#10;di54bWxQSwECFAAUAAAACACHTuJAoYy5oz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900"/>
        </w:tabs>
        <w:spacing w:line="560" w:lineRule="exact"/>
        <w:ind w:firstLine="562"/>
        <w:rPr>
          <w:rFonts w:ascii="仿宋" w:hAnsi="仿宋" w:eastAsia="仿宋" w:cs="宋体"/>
          <w:kern w:val="0"/>
          <w:sz w:val="32"/>
          <w:szCs w:val="32"/>
        </w:rPr>
      </w:pPr>
    </w:p>
    <w:p>
      <w:pPr>
        <w:tabs>
          <w:tab w:val="left" w:pos="900"/>
        </w:tabs>
        <w:spacing w:line="560" w:lineRule="exact"/>
        <w:ind w:firstLine="562"/>
        <w:rPr>
          <w:rFonts w:ascii="仿宋" w:hAnsi="仿宋" w:eastAsia="仿宋" w:cs="宋体"/>
          <w:kern w:val="0"/>
          <w:sz w:val="32"/>
          <w:szCs w:val="32"/>
        </w:rPr>
      </w:pPr>
    </w:p>
    <w:p>
      <w:pPr>
        <w:tabs>
          <w:tab w:val="left" w:pos="900"/>
        </w:tabs>
        <w:spacing w:line="560" w:lineRule="exact"/>
        <w:ind w:firstLine="562"/>
        <w:rPr>
          <w:rFonts w:ascii="仿宋" w:hAnsi="仿宋" w:eastAsia="仿宋" w:cs="宋体"/>
          <w:kern w:val="0"/>
          <w:sz w:val="32"/>
          <w:szCs w:val="32"/>
        </w:rPr>
      </w:pPr>
    </w:p>
    <w:p>
      <w:pPr>
        <w:tabs>
          <w:tab w:val="left" w:pos="900"/>
        </w:tabs>
        <w:spacing w:line="560" w:lineRule="exact"/>
        <w:ind w:firstLine="562"/>
        <w:rPr>
          <w:rFonts w:ascii="仿宋" w:hAnsi="仿宋" w:eastAsia="仿宋"/>
          <w:b/>
          <w:sz w:val="32"/>
          <w:szCs w:val="32"/>
        </w:rPr>
      </w:pP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一、对外投资概述</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1．对外投资的基本情况，包括协议签署日期、地点，协议主体名称，投资标的以及涉及金额等。</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2．董事会审议投资议案的表决情况；交易生效所必需的审批程序，如是否需经过股东大会批准或有关部门批准等。</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3．是否构成关联交易。</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二、交易对手方介绍（如适用）</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1．主要介绍除上市公司本身以外的投资协议主体的基本情况，包括姓名或名称、住所、企业类型、法定代表人、注册资本、主营业务和相互关系等。如属于关联交易，说明关联关系。</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2．交易对手方为法人的，需披露相关的产权及控制关系和实际控制人情况。</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3．交易对手方是否为失信被执行人，如是，应进一步披露其失信情况、受到的惩戒措施、对本次交易的影响，以及公司所采取的应对措施等。</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三、投资标的的基本情况</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如果是成立有限责任公司或股份有限公司：</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出资方式：介绍主要投资人或股东出资的方式：①如现金出资的，说明资金来源；②如涉及用实物资产或无形资产出资的，应当介绍资产的名称、账面价值、评估价值或本次交易价格、资产运营情况、设定担保等其他财产权利的情况、涉及该资产的诉讼、仲裁事项；③如涉及用公司股权出资的，应当介绍该公司的名称，股权结构，主营业务，最近一期经审计的资产总额、负债总额、净资产、营业收入和净利润等财务数据，及其他股东是否放弃优先受让权（股权公司为有限责任公司时适用）；</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2．标的公司基本情况：如是成立有限责任公司，还需说明公司的经营范围、各主要投资人的投资规模和持股比例；如是成立股份有限公司，还需说明经营范围、前五名股东的投资规模和持股比例等；</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如果是投资具体项目：披露项目的具体内容，投资进度，对公司的影响；</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涉及投资标的审计或评估的，参照“上市公司购买、出售资产公告格式”进行披露。</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3．如果公司投资进入新的领域，还需披露新进入领域的基本情况、拟投资的项目情况、人员、技术、管理要求，可行性分析和市场前景等；</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4．如果对现有公司增资，应按照前述“出资方式”的要</w:t>
      </w:r>
    </w:p>
    <w:p>
      <w:pPr>
        <w:widowControl/>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tabs>
          <w:tab w:val="left" w:pos="900"/>
        </w:tabs>
        <w:spacing w:line="560" w:lineRule="exact"/>
        <w:rPr>
          <w:rFonts w:ascii="仿宋" w:hAnsi="仿宋" w:eastAsia="仿宋"/>
          <w:sz w:val="32"/>
          <w:szCs w:val="32"/>
        </w:rPr>
      </w:pPr>
      <w:r>
        <w:rPr>
          <w:rFonts w:hint="eastAsia" w:ascii="仿宋" w:hAnsi="仿宋" w:eastAsia="仿宋"/>
          <w:sz w:val="32"/>
          <w:szCs w:val="32"/>
        </w:rPr>
        <w:t>求披露增资方式，同时披露被增资公司经营情况、增资前后的股权结构和最近一年又一期的主要财务指标，包括不限于资产总额、负债总额、净资产、营业收入和净利润等。</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对现有公司增资导致其纳入上市公司合并报表范围的，还应当要求披露被增资公司是否存在为他人提供担保、财务资助等情况。标的公司存在对上市公司关联方提供担保的，应当就关联担保履行相应审议程序及披露义务，关联股东应当回避表决。董事会或股东大会未审议通过关联担保的，交易各方应当采取提前终止担保等有效措施避免形成违规关联担保。交易完成后导致控股股东、实际控制人及其关联人对上市公司形成非经营性资金占用的，应当在公告中明确合理的解决方案，并在交易实施完成前解决，避免形成非经营性资金占用。</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5．投资标的如为公司股权的，还应当说明标的公司章程或其他文件中是否存在法律法规之外其他限制股东权利的条款（如有限责任公司部分股东不享有优先受让权等），如有，予以详细披露并进行重大风险提示，公司董事会充分分析其影响，并说明是否损害上市公司利益。</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投资标的如为公司股权的，应披露该公司是否为失信被执行人，如是，应进一步披露其失信情况、受到的惩戒措施、对本次交易的影响，以及公司所采取的应对措施等。</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四、对外投资合同的主要内容</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1．介绍合同（包括附件）的主要条款，包括投资金额，支付方式，标的公司董事会和管理人员的组成安排、违约条款、合同的生效条件和生效时间，以及合同中的其他重要条款。</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2．如涉及非现金方式出资，说明定价政策，定价政策主要说明确定成交价格的依据，成交价格与资产或股权账面值或评估值差异较大的，应当说明原因。涉及提交股东大会审议或非现金方式出资等的对外投资行为，若已对出资资产进行审计、评估的，应将审计报告和评估报告全文单独披露。</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五、对外投资的目的、存在的风险和对公司的影响</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主要披露对外（委托）投资的意图，本次对外（委托）投资的资金来源，该项投资可能产生的风险，如投资项目因市场、技术、环保、财务等因素引致的风险，股权投资及与他人合作的风险，项目管理和组织实施的风险等，以及对上市公司未来财务状况和经营成果的影响。</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六、如属于关联交易，还应当参照“上市公司关联交易公告格式”的要求披露有关内容。</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七、其他</w:t>
      </w:r>
    </w:p>
    <w:p>
      <w:pPr>
        <w:tabs>
          <w:tab w:val="left" w:pos="900"/>
        </w:tabs>
        <w:spacing w:line="560" w:lineRule="exact"/>
        <w:ind w:firstLine="640" w:firstLineChars="200"/>
        <w:rPr>
          <w:rFonts w:ascii="仿宋" w:hAnsi="仿宋" w:eastAsia="仿宋"/>
          <w:sz w:val="32"/>
          <w:szCs w:val="32"/>
        </w:rPr>
      </w:pPr>
      <w:r>
        <w:rPr>
          <w:rFonts w:hint="eastAsia" w:ascii="仿宋" w:hAnsi="仿宋" w:eastAsia="仿宋"/>
          <w:sz w:val="32"/>
          <w:szCs w:val="32"/>
        </w:rPr>
        <w:t>对外投资公告首次披露后，上市公司应及时披露对外投资的审议、协议签署和其他进展或变化情况；</w:t>
      </w:r>
    </w:p>
    <w:p>
      <w:pPr>
        <w:tabs>
          <w:tab w:val="left" w:pos="9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八、备查文件</w:t>
      </w:r>
    </w:p>
    <w:p>
      <w:pPr>
        <w:spacing w:line="560" w:lineRule="exact"/>
        <w:ind w:left="425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firstLine="4680"/>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pPr>
      <w:r>
        <w:rPr>
          <w:rFonts w:hint="eastAsia" w:ascii="仿宋" w:hAnsi="仿宋" w:eastAsia="仿宋"/>
          <w:sz w:val="32"/>
          <w:szCs w:val="32"/>
        </w:rPr>
        <w:br w:type="page"/>
      </w:r>
      <w:bookmarkStart w:id="256" w:name="_Toc40795953"/>
      <w:bookmarkStart w:id="257" w:name="_Toc60758294"/>
      <w:bookmarkStart w:id="258" w:name="_Toc40813224"/>
    </w:p>
    <w:p>
      <w:pPr>
        <w:keepNext/>
        <w:keepLines/>
        <w:spacing w:before="340" w:line="560" w:lineRule="exact"/>
        <w:jc w:val="center"/>
        <w:outlineLvl w:val="2"/>
        <w:rPr>
          <w:rFonts w:ascii="方正小标宋简体" w:hAnsi="仿宋" w:eastAsia="方正小标宋简体"/>
          <w:kern w:val="44"/>
          <w:sz w:val="44"/>
          <w:szCs w:val="44"/>
        </w:rPr>
      </w:pPr>
      <w:bookmarkStart w:id="259" w:name="_Toc91781166"/>
      <w:bookmarkStart w:id="260" w:name="_Toc21924"/>
      <w:bookmarkStart w:id="261" w:name="_Toc138173235"/>
      <w:bookmarkStart w:id="262" w:name="_Toc91782447"/>
      <w:bookmarkStart w:id="263" w:name="_Toc91607649"/>
      <w:r>
        <w:rPr>
          <w:rFonts w:hint="eastAsia" w:ascii="方正小标宋简体" w:hAnsi="仿宋" w:eastAsia="方正小标宋简体"/>
          <w:kern w:val="44"/>
          <w:sz w:val="44"/>
          <w:szCs w:val="44"/>
        </w:rPr>
        <w:t>交易类第3号　上市公司证券投资</w:t>
      </w:r>
      <w:bookmarkEnd w:id="256"/>
      <w:r>
        <w:rPr>
          <w:rFonts w:hint="eastAsia" w:ascii="方正小标宋简体" w:hAnsi="仿宋" w:eastAsia="方正小标宋简体"/>
          <w:kern w:val="44"/>
          <w:sz w:val="44"/>
          <w:szCs w:val="44"/>
        </w:rPr>
        <w:t>、委托理财公告格式</w:t>
      </w:r>
      <w:bookmarkEnd w:id="257"/>
      <w:bookmarkEnd w:id="258"/>
      <w:bookmarkEnd w:id="259"/>
      <w:bookmarkEnd w:id="260"/>
      <w:bookmarkEnd w:id="261"/>
      <w:bookmarkEnd w:id="262"/>
      <w:bookmarkEnd w:id="263"/>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适用范围：</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上市公司进行证券投资、委托理财触及本所《股票上市规则》等规定的信息披露义务的，适用本公告格式。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XXXXXX股份有限公司证券投资/委托理财公告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w:rPr>
          <w:rFonts w:hint="eastAsia"/>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187325</wp:posOffset>
                </wp:positionV>
                <wp:extent cx="5915025" cy="1628775"/>
                <wp:effectExtent l="0" t="0" r="28575" b="28575"/>
                <wp:wrapNone/>
                <wp:docPr id="229" name="矩形 229"/>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4.75pt;height:128.25pt;width:465.75pt;mso-position-horizontal:center;mso-position-horizontal-relative:margin;z-index:251683840;mso-width-relative:page;mso-height-relative:page;" fillcolor="#FFFFFF" filled="t" stroked="t" coordsize="21600,21600" o:gfxdata="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nCRBr1gAAAAcBAAAPAAAAAAAAAAEAIAAAACIAAABkcnMvZG93bnJl&#10;di54bWxQSwECFAAUAAAACACHTuJABDoK5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1．投资种类。</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2．投资金额。</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3．特别风险提示。</w:t>
      </w:r>
    </w:p>
    <w:p>
      <w:pPr>
        <w:autoSpaceDE w:val="0"/>
        <w:autoSpaceDN w:val="0"/>
        <w:adjustRightInd w:val="0"/>
        <w:spacing w:line="560" w:lineRule="exact"/>
        <w:ind w:left="920" w:firstLine="640" w:firstLineChars="200"/>
        <w:rPr>
          <w:rFonts w:ascii="仿宋" w:hAnsi="仿宋" w:eastAsia="仿宋"/>
          <w:sz w:val="32"/>
          <w:szCs w:val="32"/>
        </w:rPr>
      </w:pP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一、投资情况概述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1．投资目的：简述本次证券投资/委托理财的目的及必要性，说明投资是否影响公司主营业务的发展，公司资金使用安排是否合理等情况。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2．投资金额：说明本次投资总金额。</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如公司以额度金额在规定期限内进行投资的，期限内任一时点的交易金额（含前述投资的收益进行再投资的相关金额）不应超过投资额度。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3．投资方式：说明拟采取的具体投资方式、投资品种、风险等级等情况。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4．投资期限：说明本次授权在投资额度范围内进行证券投资/委托理财的期限。</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5．资金来源：说明公司本次用于投资的资金来源，有无涉及使用募集资金或银行信贷资金。</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说明本次投资需要履行的程序；涉及关联投资的，说明是否需要履行或已履行了关联交易表决程序，以及相关的表决情况等。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三、投资风险分析及风控措施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评估本次投资的风险，说明公司关于证券投资/委托理财的人员配备、账户及资金管理制度、决策程序、报告制度、内部控制及风险监控管理措施等方面的情况。</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四、投资对公司的影响</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说明本次投资对公司可能带来的影响，公司拟采用的会计政策及核算原则。</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五、中介机构意见（如适用）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保荐人应就公司证券投资/委托理财的合规性、对公司的影响、可能存在的风险、公司采取的风险控制措施是否充分有效等事项进行核查，并出具结论性意见（如适用）。</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2．保荐人意见（如适用）；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3．公司证券投资或委托理财相关内控制度；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4．以公司名义开立的证券账户情况；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5.深交所要求的其他文件。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备注：</w:t>
      </w:r>
    </w:p>
    <w:p>
      <w:pPr>
        <w:spacing w:line="560" w:lineRule="exact"/>
        <w:ind w:firstLine="656" w:firstLineChars="205"/>
        <w:rPr>
          <w:rFonts w:ascii="仿宋" w:hAnsi="仿宋" w:eastAsia="仿宋" w:cs="宋体"/>
          <w:kern w:val="0"/>
          <w:sz w:val="32"/>
          <w:szCs w:val="32"/>
        </w:rPr>
      </w:pPr>
      <w:r>
        <w:rPr>
          <w:rFonts w:hint="eastAsia" w:ascii="仿宋" w:hAnsi="仿宋" w:eastAsia="仿宋" w:cs="宋体"/>
          <w:kern w:val="0"/>
          <w:sz w:val="32"/>
          <w:szCs w:val="32"/>
        </w:rPr>
        <w:t>上市公司关于证券投资、委托理财公告首次披露后，后续如出现本所《上市公司自律监管指引第7号——交易与关联交易》等规定情形的，应当及时披露相关情况、拟采取的应对措施（如适用）。</w:t>
      </w:r>
    </w:p>
    <w:p>
      <w:pPr>
        <w:widowControl/>
        <w:jc w:val="left"/>
        <w:rPr>
          <w:rFonts w:ascii="仿宋" w:hAnsi="仿宋" w:eastAsia="仿宋"/>
          <w:sz w:val="32"/>
          <w:szCs w:val="32"/>
        </w:rPr>
      </w:pPr>
      <w:r>
        <w:rPr>
          <w:rFonts w:hint="eastAsia" w:ascii="仿宋" w:hAnsi="仿宋" w:eastAsia="仿宋"/>
          <w:sz w:val="32"/>
          <w:szCs w:val="32"/>
        </w:rPr>
        <w:br w:type="page"/>
      </w:r>
      <w:bookmarkStart w:id="264" w:name="_Toc91607650"/>
    </w:p>
    <w:p>
      <w:pPr>
        <w:keepNext/>
        <w:keepLines/>
        <w:spacing w:before="340" w:line="560" w:lineRule="exact"/>
        <w:jc w:val="center"/>
        <w:outlineLvl w:val="2"/>
        <w:rPr>
          <w:rFonts w:ascii="方正小标宋简体" w:hAnsi="仿宋" w:eastAsia="方正小标宋简体"/>
          <w:kern w:val="44"/>
          <w:sz w:val="44"/>
          <w:szCs w:val="44"/>
        </w:rPr>
      </w:pPr>
      <w:bookmarkStart w:id="265" w:name="_Toc91782448"/>
      <w:bookmarkStart w:id="266" w:name="_Toc3381"/>
      <w:bookmarkStart w:id="267" w:name="_Toc91781167"/>
      <w:bookmarkStart w:id="268" w:name="_Toc138173236"/>
      <w:r>
        <w:rPr>
          <w:rFonts w:hint="eastAsia" w:ascii="方正小标宋简体" w:hAnsi="仿宋" w:eastAsia="方正小标宋简体"/>
          <w:kern w:val="44"/>
          <w:sz w:val="44"/>
          <w:szCs w:val="44"/>
        </w:rPr>
        <w:t>交易类第4号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提供财务资助公告格式</w:t>
      </w:r>
      <w:bookmarkEnd w:id="264"/>
      <w:bookmarkEnd w:id="265"/>
      <w:bookmarkEnd w:id="266"/>
      <w:bookmarkEnd w:id="267"/>
      <w:bookmarkEnd w:id="268"/>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上市公司提供财务资助触及本所《股票上市规则》</w:t>
      </w:r>
      <w:r>
        <w:rPr>
          <w:rFonts w:hint="eastAsia" w:ascii="仿宋" w:hAnsi="仿宋" w:eastAsia="仿宋"/>
          <w:sz w:val="32"/>
          <w:szCs w:val="32"/>
        </w:rPr>
        <w:t>《主板规范运作指引》等</w:t>
      </w:r>
      <w:r>
        <w:rPr>
          <w:rFonts w:hint="eastAsia" w:ascii="仿宋" w:hAnsi="仿宋" w:eastAsia="仿宋" w:cs="宋体"/>
          <w:kern w:val="0"/>
          <w:sz w:val="32"/>
          <w:szCs w:val="32"/>
        </w:rPr>
        <w:t>规定的信息披露义务的，适用本公告格式。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XXXXXX股份有限公司提供财务资助公告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w:rPr>
          <w:rFonts w:hint="eastAsia"/>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-3175</wp:posOffset>
                </wp:positionV>
                <wp:extent cx="5915025" cy="1628775"/>
                <wp:effectExtent l="0" t="0" r="28575" b="28575"/>
                <wp:wrapNone/>
                <wp:docPr id="228" name="矩形 228"/>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0.25pt;height:128.25pt;width:465.75pt;mso-position-horizontal:center;mso-position-horizontal-relative:margin;z-index:251684864;mso-width-relative:page;mso-height-relative:page;" fillcolor="#FFFFFF" filled="t" stroked="t" coordsize="21600,21600" o:gfxdata="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DSl81gAAAAYBAAAPAAAAAAAAAAEAIAAAACIAAABkcnMvZG93bnJl&#10;di54bWxQSwECFAAUAAAACACHTuJANrluBT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1．资助对象、方式、金额、期限、利息等。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2．履行的审议程序。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3．特别风险提示。</w:t>
      </w:r>
    </w:p>
    <w:p>
      <w:pPr>
        <w:autoSpaceDE w:val="0"/>
        <w:autoSpaceDN w:val="0"/>
        <w:adjustRightInd w:val="0"/>
        <w:spacing w:line="560" w:lineRule="exact"/>
        <w:ind w:left="920" w:firstLine="640" w:firstLineChars="200"/>
        <w:rPr>
          <w:rFonts w:ascii="仿宋" w:hAnsi="仿宋" w:eastAsia="仿宋"/>
          <w:sz w:val="32"/>
          <w:szCs w:val="32"/>
        </w:rPr>
      </w:pP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一、财务资助事项概述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1．简述本次提供财务资助的主要原因及考虑，是否影响公司正常业务开展及资金使用，明确披露是否不属于本所《股票上市规则》</w:t>
      </w:r>
      <w:r>
        <w:rPr>
          <w:rFonts w:hint="eastAsia" w:ascii="仿宋" w:hAnsi="仿宋" w:eastAsia="仿宋"/>
          <w:sz w:val="32"/>
          <w:szCs w:val="32"/>
        </w:rPr>
        <w:t>《主板规范运作指引》</w:t>
      </w:r>
      <w:r>
        <w:rPr>
          <w:rFonts w:hint="eastAsia" w:ascii="仿宋" w:hAnsi="仿宋" w:eastAsia="仿宋" w:cs="宋体"/>
          <w:kern w:val="0"/>
          <w:sz w:val="32"/>
          <w:szCs w:val="32"/>
        </w:rPr>
        <w:t>等规定的不得提供财务资助的情形。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2．简述本次提供财务资助基本情况，包括协议签署日期、签署地点、各方当事人名称及资助方式、金额、期限、利息、用途及担保措施等。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3．简要说明董事会审议财务资助议案的表决情况，交易生效所必需的审议程序，如是否需经过股东大会或有关部门批准等。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二、被资助对象的基本情况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1．应说明被资助对象的名称、成立日期、注册地点、注册资本、股权结构、法定代表人、控股股东、实际控制人、主营业务等。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应说明被资助对象主要财务指标，至少应当包括最近一年经审计的资产总额、负债总额、归属于母公司的所有者权益、营业收入、归属于母公司所有者的净利润、或有事项涉及的总额（包括担保、抵押、诉讼与仲裁事项）等，并说明其资信情况或最新信用等级状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3．应当说明被资助对象与上市公司是否存在关联关系或其他业务联系，如存在，应当披露具体的情形。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为控股子公司或者参股公司提供财务资助的，应当披露被资助对象的其他股东的基本情况、与上市公司的关联关系及其按出资比例履行相应义务的情况；其他股东如未按同等条件、未按出资比例向该控股子公司或者参股公司相应提供财务资助的，应当说明原因以及上市公司利益未受到损害的理由及采取的应对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对需提交股东大会审议的提供财务资助事项，应以方框图或者其他有效形式全面披露被资助对象相关的产权及控制关系，包括被资助对象的主要股东或权益持有人、股权或权益的间接控制人及各层之间的产权关系结构图，直至披露到出现自然人、国有资产管理部门或者股东之间达成某种协议或安排的其他机构。</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6．应当说明上市公司在上一会计年度对该对象提供财务资助的情况，是否存在财务资助到期后未能及时清偿的情形。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7．被资助对象是否为失信被执行人，如是，应进一步披露其失信情况、受到的惩戒措施、对本次交易的影响，以及公司所采取的应对措施等。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三、财务资助协议的主要内容</w:t>
      </w:r>
    </w:p>
    <w:p>
      <w:pPr>
        <w:spacing w:line="560" w:lineRule="exact"/>
        <w:ind w:firstLine="640" w:firstLineChars="200"/>
        <w:rPr>
          <w:rFonts w:ascii="仿宋" w:hAnsi="仿宋" w:eastAsia="仿宋" w:cs="宋体"/>
          <w:kern w:val="0"/>
          <w:sz w:val="32"/>
          <w:szCs w:val="32"/>
        </w:rPr>
      </w:pPr>
      <w:r>
        <w:rPr>
          <w:rFonts w:hint="eastAsia" w:ascii="仿宋" w:hAnsi="仿宋" w:eastAsia="仿宋"/>
          <w:sz w:val="32"/>
          <w:szCs w:val="32"/>
        </w:rPr>
        <w:t>主要介绍提供财务资助的方式、期限、金额、利息、资金用途、担保及反担保措施、被资助对象应遵守的条件、违约责任以及协议中的其他重要条款。如通过资产等标的提供资助的，参照“上市公司购买、出售资产公告格式”介绍资产等标的的基本情况。</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四、财务资助风险分析及风控措施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应当充分披露所采取的风险防范措施，包括但不限于被资助对象或者其他第三方是否就财务资助事项提供担保等。由第三方就财务资助事项提供担保的，应当披露该第三方的基本情况及其担保履约能力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五、董事会意见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1．介绍提供财务资助的原因。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董事会在对被资助对象的资产质量、经营情况、行业前景、偿债能力、信用状况、第三方担保及履约能力情况等进行全面评估的基础上，披露该财务资助事项的风险和公允性，以及董事会对被资助对象偿还债务能力的判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3．被资助对象其他股东如未按同等条件、未按出资比例提供财务资助的，董事会应当在分析被资助对象经营情况、偿债能力的基础上，充分说明该笔财务资助风险是否可控，是否损害上市公司利益等。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4．被资助对象或第三方未提供担保的，应当说明其合理性以及是否损害上市公司利益。</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保荐人或独立财务顾问（如有）应当对财务资助事项的合法合规性、公允性及存在的风险等发表意见。</w:t>
      </w:r>
    </w:p>
    <w:p>
      <w:pPr>
        <w:snapToGrid w:val="0"/>
        <w:spacing w:line="460" w:lineRule="exact"/>
        <w:ind w:firstLine="643" w:firstLineChars="200"/>
        <w:rPr>
          <w:rFonts w:ascii="仿宋" w:hAnsi="仿宋" w:eastAsia="仿宋"/>
          <w:b/>
          <w:sz w:val="32"/>
          <w:szCs w:val="32"/>
        </w:rPr>
      </w:pPr>
      <w:r>
        <w:rPr>
          <w:rFonts w:hint="eastAsia" w:ascii="仿宋" w:hAnsi="仿宋" w:eastAsia="仿宋"/>
          <w:b/>
          <w:sz w:val="32"/>
          <w:szCs w:val="32"/>
        </w:rPr>
        <w:t>七、累计提供财务资助金额及逾期金额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提供财务资助后，上市公司提供财务资助总余额及占上市公司最近一期经审计净资产的比例；上市公司及其控股子公司对合并报表外单位提供财务资助总余额及占上市公司最近一期经审计净资产的比例；逾期未收回的金额及相关情况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八、其他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1．提供财务资助公告首次披露后，上市公司应及时披露提供财务资助事项的审议、协议签署和其他进展或变化情况；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对于已披露的财务资助事项，上市公司还应当在出现本所《主板规范运作指引》等规定的风险情形时，及时披露相关情况及拟采取的补救措施，并充分说明董事会关于被资助对象偿债能力和该项财务资助收回风险的判断。</w:t>
      </w:r>
    </w:p>
    <w:p>
      <w:pPr>
        <w:spacing w:line="560" w:lineRule="exact"/>
        <w:ind w:firstLine="643" w:firstLineChars="200"/>
        <w:rPr>
          <w:rFonts w:ascii="仿宋" w:hAnsi="仿宋" w:eastAsia="仿宋"/>
          <w:sz w:val="32"/>
          <w:szCs w:val="32"/>
        </w:rPr>
      </w:pPr>
      <w:r>
        <w:rPr>
          <w:rFonts w:hint="eastAsia" w:ascii="仿宋" w:hAnsi="仿宋" w:eastAsia="仿宋" w:cs="宋体"/>
          <w:b/>
          <w:kern w:val="0"/>
          <w:sz w:val="32"/>
          <w:szCs w:val="32"/>
        </w:rPr>
        <w:t>九、备查文件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2．保荐人或独立财务顾问意见（如有）；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3．财务资助合同（如有）；</w:t>
      </w:r>
    </w:p>
    <w:p>
      <w:pPr>
        <w:tabs>
          <w:tab w:val="left" w:pos="540"/>
          <w:tab w:val="left" w:pos="900"/>
        </w:tabs>
        <w:adjustRightIn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4．深交所要求的其他文件。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 xml:space="preserve">XXXXXX股份有限公司董事会XXXX年XX月XX日 </w:t>
      </w:r>
    </w:p>
    <w:p>
      <w:pPr>
        <w:keepNext/>
        <w:keepLine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269" w:name="_Toc138173237"/>
      <w:bookmarkStart w:id="270" w:name="_Toc91782449"/>
      <w:bookmarkStart w:id="271" w:name="_Toc91781168"/>
      <w:bookmarkStart w:id="272" w:name="_Toc91607651"/>
      <w:bookmarkStart w:id="273" w:name="_Toc82556679"/>
      <w:bookmarkStart w:id="274" w:name="_Toc32329"/>
      <w:bookmarkStart w:id="275" w:name="_Toc40795921"/>
      <w:bookmarkStart w:id="276" w:name="_Toc15391897"/>
      <w:bookmarkStart w:id="277" w:name="_Toc60758263"/>
      <w:bookmarkStart w:id="278" w:name="_Toc40813193"/>
      <w:r>
        <w:rPr>
          <w:rFonts w:hint="eastAsia" w:ascii="方正小标宋简体" w:hAnsi="仿宋" w:eastAsia="方正小标宋简体"/>
          <w:kern w:val="44"/>
          <w:sz w:val="44"/>
          <w:szCs w:val="44"/>
        </w:rPr>
        <w:t>交易类第5号　上市公司对外担保公告格式</w:t>
      </w:r>
      <w:bookmarkEnd w:id="269"/>
      <w:bookmarkEnd w:id="270"/>
      <w:bookmarkEnd w:id="271"/>
      <w:bookmarkEnd w:id="272"/>
      <w:bookmarkEnd w:id="273"/>
      <w:bookmarkEnd w:id="274"/>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707" w:firstLineChars="221"/>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XXXXXX股份有限公司对外担保公告</w:t>
      </w:r>
    </w:p>
    <w:p>
      <w:pPr>
        <w:autoSpaceDE w:val="0"/>
        <w:autoSpaceDN w:val="0"/>
        <w:adjustRightInd w:val="0"/>
        <w:spacing w:line="560" w:lineRule="exact"/>
        <w:ind w:firstLine="560"/>
        <w:rPr>
          <w:rFonts w:ascii="仿宋" w:hAnsi="仿宋" w:eastAsia="仿宋"/>
          <w:kern w:val="0"/>
          <w:sz w:val="32"/>
          <w:szCs w:val="32"/>
        </w:rPr>
      </w:pPr>
      <w:r>
        <w:rPr>
          <w:rFonts w:hint="eastAsia"/>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152400</wp:posOffset>
                </wp:positionV>
                <wp:extent cx="5915025" cy="1628775"/>
                <wp:effectExtent l="0" t="0" r="28575" b="28575"/>
                <wp:wrapNone/>
                <wp:docPr id="227" name="矩形 227"/>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2pt;height:128.25pt;width:465.75pt;mso-position-horizontal:center;mso-position-horizontal-relative:margin;z-index:251685888;mso-width-relative:page;mso-height-relative:page;" fillcolor="#FFFFFF" filled="t" stroked="t" coordsize="21600,21600" o:gfxdata="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okNe1gAAAAcBAAAPAAAAAAAAAAEAIAAAACIAAABkcnMvZG93bnJl&#10;di54bWxQSwECFAAUAAAACACHTuJA/zoipzgCAAB/BAAADgAAAAAAAAABACAAAAAlAQAAZHJzL2Uy&#10;b0RvYy54bWxQSwUGAAAAAAYABgBZAQAAzw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firstLine="560"/>
        <w:rPr>
          <w:rFonts w:ascii="仿宋" w:hAnsi="仿宋" w:eastAsia="仿宋"/>
          <w:kern w:val="0"/>
          <w:sz w:val="32"/>
          <w:szCs w:val="32"/>
        </w:rPr>
      </w:pPr>
    </w:p>
    <w:p>
      <w:pPr>
        <w:autoSpaceDE w:val="0"/>
        <w:autoSpaceDN w:val="0"/>
        <w:adjustRightInd w:val="0"/>
        <w:spacing w:line="560" w:lineRule="exact"/>
        <w:ind w:firstLine="560"/>
        <w:rPr>
          <w:rFonts w:ascii="仿宋" w:hAnsi="仿宋" w:eastAsia="仿宋"/>
          <w:kern w:val="0"/>
          <w:sz w:val="32"/>
          <w:szCs w:val="32"/>
        </w:rPr>
      </w:pPr>
    </w:p>
    <w:p>
      <w:pPr>
        <w:autoSpaceDE w:val="0"/>
        <w:autoSpaceDN w:val="0"/>
        <w:adjustRightInd w:val="0"/>
        <w:spacing w:line="560" w:lineRule="exact"/>
        <w:ind w:firstLine="560"/>
        <w:rPr>
          <w:rFonts w:ascii="仿宋" w:hAnsi="仿宋" w:eastAsia="仿宋"/>
          <w:sz w:val="32"/>
          <w:szCs w:val="32"/>
        </w:rPr>
      </w:pPr>
    </w:p>
    <w:p>
      <w:pPr>
        <w:spacing w:line="560" w:lineRule="exact"/>
        <w:ind w:firstLine="57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及控股子公司对外担保总额超过最近一期经审计净资产100%、对资产负债率超过70%的被担保对象担保、担保金额超过上市公司最近一期经审计净资产50%，以及对合并报表外单位担保金额达到或超过最近一期经审计净资产30%的情况下，应当提醒投资者充分关注担保风险。</w:t>
      </w: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一、担保情况概述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简要介绍本次担保基本情况，包括协议签署日期、签署地点、被担保人和债权人的名称、担保金额等。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简要说明董事会审议担保议案的表决情况；交易生效所必需的审议或审议程序，如是否需经过股东大会或有关部门批准等。</w:t>
      </w:r>
    </w:p>
    <w:p>
      <w:pPr>
        <w:spacing w:line="560" w:lineRule="exact"/>
        <w:ind w:firstLine="643" w:firstLineChars="200"/>
        <w:rPr>
          <w:rFonts w:ascii="仿宋" w:hAnsi="仿宋" w:eastAsia="仿宋" w:cs="宋体"/>
          <w:kern w:val="0"/>
          <w:sz w:val="32"/>
          <w:szCs w:val="32"/>
        </w:rPr>
      </w:pPr>
      <w:r>
        <w:rPr>
          <w:rFonts w:hint="eastAsia" w:ascii="仿宋" w:hAnsi="仿宋" w:eastAsia="仿宋"/>
          <w:b/>
          <w:sz w:val="32"/>
          <w:szCs w:val="32"/>
        </w:rPr>
        <w:t>二、上市公司及控股子公司存在担保额度预计情况的，在相关预计公告中，应披露下表：</w:t>
      </w:r>
    </w:p>
    <w:tbl>
      <w:tblPr>
        <w:tblStyle w:val="59"/>
        <w:tblW w:w="5000" w:type="pct"/>
        <w:tblInd w:w="0" w:type="dxa"/>
        <w:tblLayout w:type="autofit"/>
        <w:tblCellMar>
          <w:top w:w="0" w:type="dxa"/>
          <w:left w:w="108" w:type="dxa"/>
          <w:bottom w:w="0" w:type="dxa"/>
          <w:right w:w="108" w:type="dxa"/>
        </w:tblCellMar>
      </w:tblPr>
      <w:tblGrid>
        <w:gridCol w:w="560"/>
        <w:gridCol w:w="1180"/>
        <w:gridCol w:w="1903"/>
        <w:gridCol w:w="1193"/>
        <w:gridCol w:w="969"/>
        <w:gridCol w:w="757"/>
        <w:gridCol w:w="1199"/>
        <w:gridCol w:w="761"/>
      </w:tblGrid>
      <w:tr>
        <w:tblPrEx>
          <w:tblCellMar>
            <w:top w:w="0" w:type="dxa"/>
            <w:left w:w="108" w:type="dxa"/>
            <w:bottom w:w="0" w:type="dxa"/>
            <w:right w:w="108" w:type="dxa"/>
          </w:tblCellMar>
        </w:tblPrEx>
        <w:trPr>
          <w:trHeight w:val="930" w:hRule="atLeast"/>
        </w:trPr>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担保方</w:t>
            </w:r>
          </w:p>
        </w:tc>
        <w:tc>
          <w:tcPr>
            <w:tcW w:w="6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被担保方</w:t>
            </w:r>
          </w:p>
        </w:tc>
        <w:tc>
          <w:tcPr>
            <w:tcW w:w="82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担保方持股比例</w:t>
            </w:r>
          </w:p>
        </w:tc>
        <w:tc>
          <w:tcPr>
            <w:tcW w:w="74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被担保方最近一期资产负债率</w:t>
            </w:r>
          </w:p>
        </w:tc>
        <w:tc>
          <w:tcPr>
            <w:tcW w:w="61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截至目前担保余额</w:t>
            </w:r>
          </w:p>
        </w:tc>
        <w:tc>
          <w:tcPr>
            <w:tcW w:w="493"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本次新增担保额度</w:t>
            </w:r>
          </w:p>
        </w:tc>
        <w:tc>
          <w:tcPr>
            <w:tcW w:w="75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担保额度占上市公司最近一期净资产比例</w:t>
            </w:r>
          </w:p>
        </w:tc>
        <w:tc>
          <w:tcPr>
            <w:tcW w:w="49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szCs w:val="32"/>
              </w:rPr>
            </w:pPr>
            <w:r>
              <w:rPr>
                <w:rFonts w:hint="eastAsia" w:ascii="仿宋" w:hAnsi="仿宋" w:eastAsia="仿宋" w:cs="宋体"/>
                <w:b/>
                <w:kern w:val="0"/>
                <w:sz w:val="24"/>
                <w:szCs w:val="32"/>
              </w:rPr>
              <w:t>是否关联担保</w:t>
            </w:r>
          </w:p>
        </w:tc>
      </w:tr>
      <w:tr>
        <w:tblPrEx>
          <w:tblCellMar>
            <w:top w:w="0" w:type="dxa"/>
            <w:left w:w="108" w:type="dxa"/>
            <w:bottom w:w="0" w:type="dxa"/>
            <w:right w:w="108" w:type="dxa"/>
          </w:tblCellMar>
        </w:tblPrEx>
        <w:trPr>
          <w:trHeight w:val="496" w:hRule="atLeast"/>
        </w:trPr>
        <w:tc>
          <w:tcPr>
            <w:tcW w:w="378"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32"/>
              </w:rPr>
            </w:pPr>
          </w:p>
        </w:tc>
        <w:tc>
          <w:tcPr>
            <w:tcW w:w="692"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823" w:type="pct"/>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749"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618"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3"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752"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r>
      <w:tr>
        <w:tblPrEx>
          <w:tblCellMar>
            <w:top w:w="0" w:type="dxa"/>
            <w:left w:w="108" w:type="dxa"/>
            <w:bottom w:w="0" w:type="dxa"/>
            <w:right w:w="108" w:type="dxa"/>
          </w:tblCellMar>
        </w:tblPrEx>
        <w:trPr>
          <w:trHeight w:val="496" w:hRule="atLeast"/>
        </w:trPr>
        <w:tc>
          <w:tcPr>
            <w:tcW w:w="378"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32"/>
              </w:rPr>
            </w:pPr>
          </w:p>
        </w:tc>
        <w:tc>
          <w:tcPr>
            <w:tcW w:w="692"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823" w:type="pct"/>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749"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618"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3"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752"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r>
      <w:tr>
        <w:tblPrEx>
          <w:tblCellMar>
            <w:top w:w="0" w:type="dxa"/>
            <w:left w:w="108" w:type="dxa"/>
            <w:bottom w:w="0" w:type="dxa"/>
            <w:right w:w="108" w:type="dxa"/>
          </w:tblCellMar>
        </w:tblPrEx>
        <w:trPr>
          <w:trHeight w:val="496" w:hRule="atLeast"/>
        </w:trPr>
        <w:tc>
          <w:tcPr>
            <w:tcW w:w="378"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cs="宋体"/>
                <w:kern w:val="0"/>
                <w:sz w:val="24"/>
                <w:szCs w:val="32"/>
              </w:rPr>
            </w:pPr>
          </w:p>
        </w:tc>
        <w:tc>
          <w:tcPr>
            <w:tcW w:w="692"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823" w:type="pct"/>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4"/>
                <w:szCs w:val="32"/>
              </w:rPr>
            </w:pPr>
          </w:p>
        </w:tc>
        <w:tc>
          <w:tcPr>
            <w:tcW w:w="749"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618"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3"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752"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c>
          <w:tcPr>
            <w:tcW w:w="49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32"/>
              </w:rPr>
            </w:pPr>
          </w:p>
        </w:tc>
      </w:tr>
      <w:tr>
        <w:tblPrEx>
          <w:tblCellMar>
            <w:top w:w="0" w:type="dxa"/>
            <w:left w:w="108" w:type="dxa"/>
            <w:bottom w:w="0" w:type="dxa"/>
            <w:right w:w="108" w:type="dxa"/>
          </w:tblCellMar>
        </w:tblPrEx>
        <w:trPr>
          <w:trHeight w:val="496" w:hRule="atLeast"/>
        </w:trPr>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32"/>
              </w:rPr>
            </w:pPr>
            <w:r>
              <w:rPr>
                <w:rFonts w:hint="eastAsia" w:ascii="仿宋" w:hAnsi="仿宋" w:eastAsia="仿宋" w:cs="宋体"/>
                <w:kern w:val="0"/>
                <w:sz w:val="24"/>
                <w:szCs w:val="32"/>
              </w:rPr>
              <w:t>…</w:t>
            </w:r>
          </w:p>
        </w:tc>
        <w:tc>
          <w:tcPr>
            <w:tcW w:w="69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4"/>
                <w:szCs w:val="32"/>
              </w:rPr>
            </w:pPr>
          </w:p>
        </w:tc>
        <w:tc>
          <w:tcPr>
            <w:tcW w:w="823"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4"/>
                <w:szCs w:val="32"/>
              </w:rPr>
            </w:pPr>
          </w:p>
        </w:tc>
        <w:tc>
          <w:tcPr>
            <w:tcW w:w="74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32"/>
              </w:rPr>
            </w:pPr>
          </w:p>
        </w:tc>
        <w:tc>
          <w:tcPr>
            <w:tcW w:w="61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32"/>
              </w:rPr>
            </w:pPr>
          </w:p>
        </w:tc>
        <w:tc>
          <w:tcPr>
            <w:tcW w:w="493"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32"/>
              </w:rPr>
            </w:pPr>
          </w:p>
        </w:tc>
        <w:tc>
          <w:tcPr>
            <w:tcW w:w="752"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32"/>
              </w:rPr>
            </w:pPr>
          </w:p>
        </w:tc>
        <w:tc>
          <w:tcPr>
            <w:tcW w:w="49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32"/>
              </w:rPr>
            </w:pP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已审议额度内的担保实际发生时，除按本公告格式披露相关内容外，还应当在相关公告中明确披露对被担保方相关担保额度的审议情况，包括审议过程、审议时间、审议的担保额度以及本次担保前后对被担保方的担保余额（已提供且尚在担保期限内的担保余额，下同）、可用担保额度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担保调剂事项发生时，应当在相关公告中分别披露调出方及调入方名称、担保额度以及本次调剂前后对各方的担保余额、可用担保额度等。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三、被担保人基本情况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1．应说明被担保人的名称、成立日期、注册地点、法定代表人、注册资本、主营业务、股权结构、与上市公司存在的关联关系或其他业务联系。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对需提交股东大会审议的担保事项，应以方框图或者其他有效形式全面披露被担保人相关的产权及控制关系，包括被担保人的主要股东或权益持有人、股权或权益的间接控制人及各层之间的产权关系结构图，直至披露到出现自然人、国有资产管理部门或者股东之间达成某种协议或安排的其他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应说明被担保人最近一年又一期的资产总额、负债总额（其中包括银行贷款总额、流动负债总额）、或有事项涉及的总额（包括担保、抵押、诉讼与仲裁事项）、净资产、营业收入、利润总额、净利润等主要财务指标和最新的信用等级状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4．被担保方是否为失信被执行人，如是，应进一步披露其失信情况、受到的惩戒措施、对本次交易的影响，以及公司所采取的应对措施等。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四、担保协议的主要内容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介绍担保的方式、期限、金额、其他股东方是否提供担保及担保形式、反担保情况及形式，以及担保协议中的其他重要条款。如通过资产等标的提供担保的，参照“上市公司购买、出售资产公告格式”介绍资产等标的的基本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五、董事会意见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1．介绍提供担保的原因。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2．董事会在对被担保人资产质量、经营情况、行业前景、偿债能力、信用状况等进行全面评估的基础上，披露该担保事项的利益和风险，以及董事会对被担保人偿还债务能力的判断。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为控股子公司或参股公司提供担保的，应说明该控股子公司或参股公司其他股东是否按出资比例提供同等担保或者反担保等，担保是否公平、对等。如该股东未能按出资比例向上市公司控股子公司或者参股公司提供同等担保或反担保等风险控制措施，应当披露主要原因，并在分析担保对象经营情况、偿债能力的基础上，充分说明该笔担保风险是否可控，是否损害上市公司利益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4．说明被担保方提供反担保情况，未提供反担保的应当说明其合理性以及是否损害上市公司利益。公司为控股股东、实际控制人及其关联人提供担保的，控股股东、实际控制人及其关联人应当提供反担保。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六、累计对外担保数量及逾期担保的数量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担保后，上市公司及其控股子公司的担保额度总金额（如有）、本次担保提供后上市公司及控股子公司对外担保总余额及占上市公司最近一期经审计净资产的比例；上市公司及其控股子公司对合并报表外单位提供的担保总余额及占上市公司最近一期经审计净资产的比例；逾期债务对应的担保余额、涉及诉讼的担保金额及因被判决败诉而应承担的担保金额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七、其他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担保公告首次披露后，上市公司应及时披露担保的审议、协议签署和其他进展或变化情况。</w:t>
      </w:r>
    </w:p>
    <w:p>
      <w:pPr>
        <w:spacing w:line="560" w:lineRule="exact"/>
        <w:ind w:firstLine="643" w:firstLineChars="200"/>
        <w:rPr>
          <w:rFonts w:ascii="仿宋" w:hAnsi="仿宋" w:eastAsia="仿宋"/>
          <w:sz w:val="32"/>
          <w:szCs w:val="32"/>
        </w:rPr>
      </w:pPr>
      <w:r>
        <w:rPr>
          <w:rFonts w:hint="eastAsia" w:ascii="仿宋" w:hAnsi="仿宋" w:eastAsia="仿宋" w:cs="宋体"/>
          <w:b/>
          <w:kern w:val="0"/>
          <w:sz w:val="32"/>
          <w:szCs w:val="32"/>
        </w:rPr>
        <w:t>八、备查文件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2．担保合同（如有）；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3．深交所要求的其他文件。</w:t>
      </w:r>
    </w:p>
    <w:p>
      <w:pPr>
        <w:spacing w:line="560" w:lineRule="exact"/>
        <w:ind w:firstLine="640" w:firstLineChars="200"/>
        <w:rPr>
          <w:rFonts w:ascii="仿宋" w:hAnsi="仿宋" w:eastAsia="仿宋"/>
          <w:sz w:val="32"/>
          <w:szCs w:val="32"/>
        </w:rPr>
      </w:pPr>
    </w:p>
    <w:p>
      <w:pPr>
        <w:spacing w:line="560" w:lineRule="exact"/>
        <w:ind w:firstLine="4160"/>
        <w:jc w:val="right"/>
        <w:rPr>
          <w:rFonts w:ascii="Times New Roman" w:hAnsi="Times New Roman" w:eastAsia="仿宋"/>
          <w:sz w:val="32"/>
          <w:szCs w:val="32"/>
        </w:rPr>
      </w:pPr>
      <w:r>
        <w:rPr>
          <w:rFonts w:hint="eastAsia" w:ascii="仿宋" w:hAnsi="仿宋" w:eastAsia="仿宋"/>
          <w:sz w:val="32"/>
          <w:szCs w:val="32"/>
        </w:rPr>
        <w:t>XXXXXX股份有限公司董事会XXXX年XX月XX日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279" w:name="_Toc91781169"/>
      <w:bookmarkStart w:id="280" w:name="_Toc91607652"/>
      <w:bookmarkStart w:id="281" w:name="_Toc2279"/>
      <w:bookmarkStart w:id="282" w:name="_Toc138173238"/>
      <w:bookmarkStart w:id="283" w:name="_Toc91782450"/>
      <w:r>
        <w:rPr>
          <w:rFonts w:hint="eastAsia" w:ascii="方正小标宋简体" w:hAnsi="仿宋" w:eastAsia="方正小标宋简体"/>
          <w:kern w:val="44"/>
          <w:sz w:val="44"/>
          <w:szCs w:val="44"/>
        </w:rPr>
        <w:t>交易类第6号　上市公司债务重组公告格式</w:t>
      </w:r>
      <w:bookmarkEnd w:id="275"/>
      <w:bookmarkEnd w:id="276"/>
      <w:bookmarkEnd w:id="277"/>
      <w:bookmarkEnd w:id="278"/>
      <w:bookmarkEnd w:id="279"/>
      <w:bookmarkEnd w:id="280"/>
      <w:bookmarkEnd w:id="281"/>
      <w:bookmarkEnd w:id="282"/>
      <w:bookmarkEnd w:id="283"/>
    </w:p>
    <w:p>
      <w:pPr>
        <w:tabs>
          <w:tab w:val="left" w:pos="0"/>
        </w:tabs>
        <w:spacing w:line="560" w:lineRule="exact"/>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上市公司债务重组事项触及本所《股票上市规则》等规定的信息披露义务的，适用本公告格式。</w:t>
      </w:r>
    </w:p>
    <w:p>
      <w:pPr>
        <w:tabs>
          <w:tab w:val="left" w:pos="0"/>
        </w:tabs>
        <w:spacing w:line="560" w:lineRule="exact"/>
        <w:rPr>
          <w:rFonts w:ascii="仿宋" w:hAnsi="仿宋" w:eastAsia="仿宋"/>
          <w:b/>
          <w:sz w:val="32"/>
          <w:szCs w:val="32"/>
        </w:rPr>
      </w:pPr>
    </w:p>
    <w:p>
      <w:pPr>
        <w:autoSpaceDE w:val="0"/>
        <w:autoSpaceDN w:val="0"/>
        <w:adjustRightInd w:val="0"/>
        <w:spacing w:line="560" w:lineRule="exact"/>
        <w:ind w:left="698" w:hanging="697" w:hangingChars="218"/>
        <w:jc w:val="center"/>
        <w:rPr>
          <w:rFonts w:ascii="仿宋" w:hAnsi="仿宋" w:eastAsia="仿宋"/>
          <w:sz w:val="32"/>
          <w:szCs w:val="32"/>
        </w:rPr>
      </w:pPr>
      <w:r>
        <w:rPr>
          <w:rFonts w:hint="eastAsia" w:ascii="仿宋" w:hAnsi="仿宋" w:eastAsia="仿宋"/>
          <w:sz w:val="32"/>
          <w:szCs w:val="32"/>
        </w:rPr>
        <w:t xml:space="preserve">   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XXXXXX股份有限公司债务重组公告</w:t>
      </w:r>
    </w:p>
    <w:p>
      <w:pPr>
        <w:tabs>
          <w:tab w:val="left" w:pos="1500"/>
        </w:tabs>
        <w:spacing w:line="560" w:lineRule="exact"/>
        <w:rPr>
          <w:rFonts w:ascii="仿宋" w:hAnsi="仿宋" w:eastAsia="仿宋"/>
          <w:b/>
          <w:sz w:val="32"/>
          <w:szCs w:val="32"/>
        </w:rPr>
      </w:pPr>
      <w:r>
        <w:rPr>
          <w:rFonts w:hint="eastAsi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82550</wp:posOffset>
                </wp:positionV>
                <wp:extent cx="5915025" cy="1628775"/>
                <wp:effectExtent l="0" t="0" r="28575" b="28575"/>
                <wp:wrapNone/>
                <wp:docPr id="226" name="矩形 226"/>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6.5pt;height:128.25pt;width:465.75pt;mso-position-horizontal:center;mso-position-horizontal-relative:margin;z-index:251686912;mso-width-relative:page;mso-height-relative:page;" fillcolor="#FFFFFF" filled="t" stroked="t" coordsize="21600,21600" o:gfxdata="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KLzsNcAAAAHAQAADwAAAAAAAAABACAAAAAiAAAAZHJzL2Rvd25y&#10;ZXYueG1sUEsBAhQAFAAAAAgAh07iQM25Rkc4AgAAfwQAAA4AAAAAAAAAAQAgAAAAJgEAAGRycy9l&#10;Mm9Eb2MueG1sUEsFBgAAAAAGAAYAWQEAANA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500"/>
        </w:tabs>
        <w:spacing w:line="560" w:lineRule="exact"/>
        <w:rPr>
          <w:rFonts w:ascii="仿宋" w:hAnsi="仿宋" w:eastAsia="仿宋"/>
          <w:b/>
          <w:sz w:val="32"/>
          <w:szCs w:val="32"/>
        </w:rPr>
      </w:pPr>
    </w:p>
    <w:p>
      <w:pPr>
        <w:tabs>
          <w:tab w:val="left" w:pos="1500"/>
        </w:tabs>
        <w:spacing w:line="560" w:lineRule="exact"/>
        <w:rPr>
          <w:rFonts w:ascii="仿宋" w:hAnsi="仿宋" w:eastAsia="仿宋"/>
          <w:b/>
          <w:sz w:val="32"/>
          <w:szCs w:val="32"/>
        </w:rPr>
      </w:pPr>
    </w:p>
    <w:p>
      <w:pPr>
        <w:tabs>
          <w:tab w:val="left" w:pos="1500"/>
        </w:tabs>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特别风险提示（如适用）：</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本次债务重组存在较大重组风险，或重组完成后对上市公司产生较大风险的，应当以“特别提示”的形式逐项披露重组风险和重组完成后可能给上市公司带来的风险因素，包括但不限于涉及资产的估值风险、权属风险、重组债务审批风险、政策风险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一、债务重组概述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1．简要介绍债务重组的基本情况，包括债务重组各方当事人名称、债务重组事项、涉及债务和资产概况及相关金额、是否构成关联交易、协议签署日期等。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简要说明董事会审议债务重组议案的表决情况；债务重组生效所必需的审批及其他程序（如是否需经过股东大会或有关部门批准、是否需征得债权人同意、是否需征得其他第三方同意等）以及公司履行程序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3．如债务重组实施所必须的审批及其他相关程序尚未完成，或交易尚存在重大法律障碍（如作为债务重组涉及标的资产产权权属瑕疵等），应作出详细说明。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二、债务重组对方的基本情况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1．债务重组对方的姓名或名称、企业性质、注册地、主要办公地点、法定代表人、注册资本、主营业务、主要股东，该交易需获得股东大会批准的还应当披露其实际控制人。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2．债务重组对方与上市公司及上市公司前十名股东在产权、业务、资产、债权债务、人员等方面的关系以及其他可能或已经造成上市公司对其利益倾斜的关系。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3．最近一年财务会计报表；如果交易对方成立时间不足一年或是专为本次交易而设立的，则应当披露交易对方的实际控制人或者控股方的财务资料。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4．深交所要求的其他内容。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三、债务重组方案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1．重组涉及债务的情况，主要包括债权人姓名或名称、债权债务金额、期限、发生日期、发生原因等。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2．债务重组方案的主要内容，主要包括债务重组的具体方式（如以货币资金以外的方式偿债、减免债务、停息或减息、改变债务条件等）、条款和相关金额。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3．涉及债务豁免或转移债务的，还应当说明已经取得债权人的书面认可，以及是否已获得必要的授权审批等。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4．债务重组存在以资抵债等涉及资产标的的，上市公司还应当按照“上市公司购买、出售资产公告格式”披露相关标的资产的情况。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四、债务重组协议的主要内容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1．债务重组金额、支付方式（如现金、股权、资产置换等）、支付期限或分期付款的安排、协议的生效条件、生效时间以及有效期限等；交易协议有任何形式的附加或保留条款，应当予以特别说明。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2．交易需经股东大会或有权部门批准的，还应当说明需履行的合法程序及其进展情况。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3．涉及相关标的资产的，其定价依据，成交价格与账面值、评估值差异较大的，董事会应当说明原因。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4．涉及款项支付的，应当披露支出款项的资金来源。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5．涉及相关标的资产的，其交易标的的交付状态、交付和过户时间；存在过渡期安排的，还应当对过渡期相关标的资产产生的损益归属作出明确说明。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五、涉及债务重组的其他安排（如适用）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主要介绍债务重组所涉及的人员安置、土地租赁，交易完成后可能产生关联交易或同业竞争的说明以及解决措施等情况。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六、债务重组目的和对公司的影响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1．详细披露本次债务重组的背景、目的或原因。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2．本次债务重组对上市公司本期和未来财务状况和经营成果的具体影响。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3．债务重组涉及其他方为上市公司承担债务的，董事会应当结合债务承担方的主要财务数据和资信情况等因素，对债务承担方的承担能力作出判断和说明。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七、中介机构意见结论（如适用）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上市公司在债务重组中聘任中介机构出具专业意见的，应明确披露中介机构对本次资产交易的专业意见结论。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八、其他（如适用）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深交所或公司董事会认为有助于说明交易实质的其他内容。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九、备查文件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2．监事会决议（如有）；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3．债务重组意向书、协议或合同；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4．涉及资产的财务报表（如有）；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5．审计报告（如有）；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6．评估报告（如有）；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7．法律意见书（如有）；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8．财务顾问报告（如有）；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9．有权机构的批文（如有）；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10．深交所要求的其他文件。</w:t>
      </w:r>
    </w:p>
    <w:p>
      <w:pPr>
        <w:spacing w:line="560" w:lineRule="exact"/>
        <w:ind w:firstLine="640" w:firstLineChars="200"/>
        <w:rPr>
          <w:rFonts w:ascii="仿宋" w:hAnsi="仿宋" w:eastAsia="仿宋"/>
          <w:sz w:val="32"/>
          <w:szCs w:val="32"/>
        </w:rPr>
      </w:pPr>
    </w:p>
    <w:p>
      <w:pPr>
        <w:spacing w:line="560" w:lineRule="exact"/>
        <w:ind w:left="4250"/>
        <w:rPr>
          <w:rFonts w:ascii="仿宋" w:hAnsi="仿宋" w:eastAsia="仿宋"/>
          <w:sz w:val="32"/>
          <w:szCs w:val="32"/>
        </w:rPr>
      </w:pPr>
      <w:r>
        <w:rPr>
          <w:rFonts w:hint="eastAsia" w:ascii="仿宋" w:hAnsi="仿宋" w:eastAsia="仿宋"/>
          <w:sz w:val="32"/>
          <w:szCs w:val="32"/>
        </w:rPr>
        <w:t>XXXXXX股份有限公司董事会</w:t>
      </w:r>
    </w:p>
    <w:p>
      <w:pPr>
        <w:autoSpaceDE w:val="0"/>
        <w:autoSpaceDN w:val="0"/>
        <w:adjustRightInd w:val="0"/>
        <w:spacing w:line="560" w:lineRule="exact"/>
        <w:ind w:left="698" w:hanging="697" w:hangingChars="218"/>
        <w:jc w:val="right"/>
        <w:rPr>
          <w:rFonts w:ascii="仿宋" w:hAnsi="仿宋" w:eastAsia="仿宋"/>
          <w:sz w:val="32"/>
          <w:szCs w:val="32"/>
        </w:rPr>
      </w:pPr>
      <w:r>
        <w:rPr>
          <w:rFonts w:hint="eastAsia" w:ascii="仿宋" w:hAnsi="仿宋" w:eastAsia="仿宋"/>
          <w:sz w:val="32"/>
          <w:szCs w:val="32"/>
        </w:rPr>
        <w:t>XXXX年XX月XX日</w:t>
      </w:r>
    </w:p>
    <w:p>
      <w:pPr>
        <w:keepNext/>
        <w:keepLines/>
        <w:tabs>
          <w:tab w:val="left" w:pos="5103"/>
        </w:tab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284" w:name="_Toc40795954"/>
      <w:bookmarkStart w:id="285" w:name="_Toc40813225"/>
      <w:bookmarkStart w:id="286" w:name="_Toc91781170"/>
      <w:bookmarkStart w:id="287" w:name="_Toc91782451"/>
      <w:bookmarkStart w:id="288" w:name="_Toc8175"/>
      <w:bookmarkStart w:id="289" w:name="_Toc138173239"/>
      <w:bookmarkStart w:id="290" w:name="_Toc60758295"/>
      <w:bookmarkStart w:id="291" w:name="_Toc91607653"/>
      <w:r>
        <w:rPr>
          <w:rFonts w:hint="eastAsia" w:ascii="方正小标宋简体" w:hAnsi="仿宋" w:eastAsia="方正小标宋简体"/>
          <w:kern w:val="44"/>
          <w:sz w:val="44"/>
          <w:szCs w:val="44"/>
        </w:rPr>
        <w:t>交易类第7号　上市公司放弃权利公告格式</w:t>
      </w:r>
      <w:bookmarkEnd w:id="284"/>
      <w:bookmarkEnd w:id="285"/>
      <w:bookmarkEnd w:id="286"/>
      <w:bookmarkEnd w:id="287"/>
      <w:bookmarkEnd w:id="288"/>
      <w:bookmarkEnd w:id="289"/>
      <w:bookmarkEnd w:id="290"/>
      <w:bookmarkEnd w:id="291"/>
    </w:p>
    <w:p>
      <w:pPr>
        <w:adjustRightInd w:val="0"/>
        <w:snapToGrid w:val="0"/>
        <w:spacing w:line="360" w:lineRule="auto"/>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适用情形及注意事项：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1．本公告格式所称放弃权利是指本所《股票上市规则》等规定的情形。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2．上市公司还应当根据具体放弃权利类型，参照“上市公司购买、出售资产公告格式”“上市公司关联交易公告格式”“上市公司对外（含委托）投资公告格式”等的要求披露有关内容。</w:t>
      </w:r>
    </w:p>
    <w:p>
      <w:pPr>
        <w:adjustRightInd w:val="0"/>
        <w:snapToGrid w:val="0"/>
        <w:spacing w:line="560" w:lineRule="exact"/>
        <w:ind w:firstLine="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XXXXXX股份有限公司放弃权利公告</w:t>
      </w:r>
    </w:p>
    <w:p>
      <w:pPr>
        <w:autoSpaceDE w:val="0"/>
        <w:autoSpaceDN w:val="0"/>
        <w:adjustRightInd w:val="0"/>
        <w:spacing w:line="360" w:lineRule="auto"/>
        <w:ind w:left="360"/>
        <w:rPr>
          <w:rFonts w:ascii="仿宋" w:hAnsi="仿宋" w:eastAsia="仿宋"/>
          <w:sz w:val="32"/>
          <w:szCs w:val="32"/>
        </w:rPr>
      </w:pPr>
      <w:r>
        <w:rPr>
          <w:rFonts w:hint="eastAsia"/>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29845</wp:posOffset>
                </wp:positionV>
                <wp:extent cx="5915025" cy="1628775"/>
                <wp:effectExtent l="0" t="0" r="28575" b="28575"/>
                <wp:wrapNone/>
                <wp:docPr id="225" name="矩形 225"/>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2.35pt;height:128.25pt;width:465.75pt;mso-position-horizontal:center;mso-position-horizontal-relative:margin;z-index:251686912;mso-width-relative:page;mso-height-relative:page;" fillcolor="#FFFFFF" filled="t" stroked="t" coordsize="21600,21600" o:gfxdata="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XzDcfWAAAABgEAAA8AAAAAAAAAAQAgAAAAIgAAAGRycy9kb3ducmV2&#10;LnhtbFBLAQIUABQAAAAIAIdO4kDaOpq8NwIAAH8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autoSpaceDE w:val="0"/>
        <w:autoSpaceDN w:val="0"/>
        <w:adjustRightInd w:val="0"/>
        <w:spacing w:line="360" w:lineRule="auto"/>
        <w:ind w:firstLine="538"/>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p>
    <w:p>
      <w:pPr>
        <w:tabs>
          <w:tab w:val="left" w:pos="1260"/>
        </w:tabs>
        <w:autoSpaceDE w:val="0"/>
        <w:autoSpaceDN w:val="0"/>
        <w:adjustRightInd w:val="0"/>
        <w:spacing w:line="360" w:lineRule="auto"/>
        <w:ind w:firstLine="538"/>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sz w:val="32"/>
          <w:szCs w:val="32"/>
        </w:rPr>
        <w:t>风险提示（如适用）：</w:t>
      </w:r>
      <w:r>
        <w:rPr>
          <w:rFonts w:hint="eastAsia" w:ascii="仿宋" w:hAnsi="仿宋" w:eastAsia="仿宋"/>
          <w:sz w:val="32"/>
          <w:szCs w:val="32"/>
        </w:rPr>
        <w:t>本次放弃权利事项将导致对最近三年内的募集资金投资项目、重大资产重组置入资产失去控制地位，或者有关方拟认购上市公司放弃权利所涉的出资额明显低于市场同类交易价格等情形的，上市公司应当作出特别风险提示。</w:t>
      </w: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一、放弃权利事项概述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1．简要介绍放弃权利所涉事项的基本情况，包括各方当事人名称、所涉标的名称、发生日期、所涉事项类型、涉及金额或比例、放弃权利的具体情形（如优先购买权、优先认缴出资权或其他优先权利）等。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2．简要说明是否构成关联交易等。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简要说明董事会审议放弃权利的表决情况；放弃权利事项生效所必需的审批及其他程序（如是否需经过股东大会或有关部门批准、是否需征得其他第三方同意等）以及公司履行程序的情况。如放弃权利实施所必须的审批及其他相关程序尚未完成等，应作出详细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二、各方当事人基本情况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各方当事人的基本情况应参照“上市公司购买、出售资产公告格式”“上市公司关联交易公告格式”等关于交易对方或关联方的要求披露有关内容。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三、所涉标的基本情况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所涉标的基本情况应参照“上市公司购买、出售资产公告格式”“上市公司对外（含委托）投资公告格式”等关于出售资产或标的资产的要求披露有关内容。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四、放弃权利的定价政策及定价依据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说明相关方受让标的所涉权利的出资金额、出资方式、定价政策、定价依据，以及上市公司如不放弃权利所需支付的金额或需要履行的其他义务。</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五、放弃权利协议的主要内容（如适用）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放弃权利协议应参照“上市公司购买、出售资产公告格式”“上市公司关联交易公告格式”“上市公司对外（含委托）投资公告格式”等关于交易协议或投资合同等的要求披露有关内容。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六、放弃权利的原因、影响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结合所涉标的财务状况和盈利能力、所处行业地位及行业发展前景等情况，充分说明决定放弃相关权利的理由，并分析放弃权利对上市公司财务状况及经营成果的影响。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本次放弃权利事项将导致对最近三年内的募集资金投资项目、重大资产重组置入资产失去控制地位，或者有关方拟认购上市公司放弃所涉权利的出资额明显低于市场同类交易价格等情形的，应当专门作出说明。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七、董事会意见（如适用）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1．说明放弃权利的原因和董事会审议放弃权利的表决情况。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2．根据同行业公司价值、同行业平均市盈率等情况，说明对相关方受让标的所涉权利的定价（转让定价、增资扩股作价等）是否公允、合理，是否损害上市公司利益。</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八、中介机构意见结论（如适用）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上市公司在放弃权利事项中聘任中介机构出具专业意见的，应明确披露中介机构对本次放弃权利的专业意见结论。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九、其他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深交所或公司董事会认为有助于说明放弃权利事项的其他内容。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2．放弃权利所涉标的审计报告或评估报告等（如适用）；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3．意向书、协议或合同（如适用）；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4．与放弃权利事项相关的中介机构报告（如适用）；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5．深交所要求的其他文件。</w:t>
      </w:r>
    </w:p>
    <w:p>
      <w:pPr>
        <w:spacing w:line="560" w:lineRule="exact"/>
        <w:ind w:firstLine="640" w:firstLineChars="200"/>
        <w:rPr>
          <w:rFonts w:ascii="仿宋" w:hAnsi="仿宋" w:eastAsia="仿宋"/>
          <w:sz w:val="32"/>
          <w:szCs w:val="32"/>
        </w:rPr>
      </w:pPr>
    </w:p>
    <w:p>
      <w:pPr>
        <w:spacing w:line="560" w:lineRule="exact"/>
        <w:ind w:firstLine="563" w:firstLineChars="176"/>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firstLine="563" w:firstLineChars="176"/>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292" w:name="_Toc91781171"/>
      <w:bookmarkStart w:id="293" w:name="_Toc91607654"/>
      <w:bookmarkStart w:id="294" w:name="_Toc91782452"/>
      <w:bookmarkStart w:id="295" w:name="_Toc138173240"/>
      <w:bookmarkStart w:id="296" w:name="_Toc1244"/>
      <w:r>
        <w:rPr>
          <w:rFonts w:hint="eastAsia" w:ascii="方正小标宋简体" w:hAnsi="仿宋" w:eastAsia="方正小标宋简体"/>
          <w:kern w:val="44"/>
          <w:sz w:val="44"/>
          <w:szCs w:val="44"/>
        </w:rPr>
        <w:t>交易类第8号　上市公司重大合同</w:t>
      </w:r>
      <w:bookmarkStart w:id="297" w:name="_Toc40795927"/>
      <w:r>
        <w:br w:type="textWrapping"/>
      </w:r>
      <w:r>
        <w:rPr>
          <w:rFonts w:hint="eastAsia" w:ascii="方正小标宋简体" w:hAnsi="仿宋" w:eastAsia="方正小标宋简体"/>
          <w:kern w:val="44"/>
          <w:sz w:val="44"/>
          <w:szCs w:val="44"/>
        </w:rPr>
        <w:t>（框架性协议等）公告格式</w:t>
      </w:r>
      <w:bookmarkEnd w:id="292"/>
      <w:bookmarkEnd w:id="293"/>
      <w:bookmarkEnd w:id="294"/>
      <w:bookmarkEnd w:id="295"/>
      <w:bookmarkEnd w:id="296"/>
      <w:bookmarkEnd w:id="297"/>
    </w:p>
    <w:p>
      <w:pPr>
        <w:widowControl/>
        <w:adjustRightInd w:val="0"/>
        <w:spacing w:line="560" w:lineRule="exact"/>
        <w:ind w:firstLine="588" w:firstLineChars="183"/>
        <w:rPr>
          <w:rFonts w:ascii="仿宋" w:hAnsi="仿宋" w:eastAsia="仿宋"/>
          <w:b/>
          <w:sz w:val="32"/>
          <w:szCs w:val="32"/>
        </w:rPr>
      </w:pPr>
    </w:p>
    <w:p>
      <w:pPr>
        <w:widowControl/>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适用情形：</w:t>
      </w:r>
      <w:r>
        <w:rPr>
          <w:rFonts w:hint="eastAsia" w:ascii="仿宋" w:hAnsi="仿宋" w:eastAsia="仿宋"/>
          <w:sz w:val="32"/>
          <w:szCs w:val="32"/>
        </w:rPr>
        <w:t>本公告格式所指的重大合同包括本所《股票上市规则》规定的日常交易相关合同，以及上市公司与交易对方签订的可能对公司财务状况、经营成果或公司股票及其衍生品种产生较大影响的框架性协议或意向性协议等。</w:t>
      </w:r>
    </w:p>
    <w:p>
      <w:pPr>
        <w:widowControl/>
        <w:adjustRightInd w:val="0"/>
        <w:snapToGrid w:val="0"/>
        <w:spacing w:line="560" w:lineRule="exact"/>
        <w:ind w:firstLine="709"/>
        <w:jc w:val="center"/>
        <w:rPr>
          <w:rFonts w:ascii="仿宋" w:hAnsi="仿宋" w:eastAsia="仿宋"/>
          <w:kern w:val="0"/>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kern w:val="0"/>
          <w:sz w:val="32"/>
          <w:szCs w:val="32"/>
        </w:rPr>
      </w:pPr>
      <w:r>
        <w:rPr>
          <w:rFonts w:hint="eastAsia" w:ascii="仿宋" w:hAnsi="仿宋" w:eastAsia="仿宋"/>
          <w:kern w:val="0"/>
          <w:sz w:val="32"/>
          <w:szCs w:val="32"/>
        </w:rPr>
        <w:t xml:space="preserve">   XXXXXX股份有限公司重大合同（框架</w:t>
      </w:r>
      <w:r>
        <w:rPr>
          <w:rFonts w:hint="eastAsia" w:ascii="仿宋" w:hAnsi="仿宋" w:eastAsia="仿宋" w:cs="宋体"/>
          <w:bCs/>
          <w:kern w:val="0"/>
          <w:sz w:val="32"/>
          <w:szCs w:val="32"/>
        </w:rPr>
        <w:t>性</w:t>
      </w:r>
      <w:r>
        <w:rPr>
          <w:rFonts w:hint="eastAsia" w:ascii="仿宋" w:hAnsi="仿宋" w:eastAsia="仿宋"/>
          <w:kern w:val="0"/>
          <w:sz w:val="32"/>
          <w:szCs w:val="32"/>
        </w:rPr>
        <w:t>协议等）公告</w:t>
      </w:r>
    </w:p>
    <w:p>
      <w:pPr>
        <w:widowControl/>
        <w:tabs>
          <w:tab w:val="center" w:pos="4657"/>
        </w:tabs>
        <w:spacing w:line="560" w:lineRule="exact"/>
        <w:ind w:firstLine="562"/>
        <w:rPr>
          <w:rFonts w:ascii="仿宋" w:hAnsi="仿宋" w:eastAsia="仿宋"/>
          <w:b/>
          <w:kern w:val="0"/>
          <w:sz w:val="32"/>
          <w:szCs w:val="32"/>
        </w:rPr>
      </w:pPr>
      <w:r>
        <w:rPr>
          <w:rFonts w:hint="eastAsia"/>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34925</wp:posOffset>
                </wp:positionV>
                <wp:extent cx="5915025" cy="1264920"/>
                <wp:effectExtent l="4445" t="4445" r="5080" b="6985"/>
                <wp:wrapNone/>
                <wp:docPr id="224" name="矩形 224"/>
                <wp:cNvGraphicFramePr/>
                <a:graphic xmlns:a="http://schemas.openxmlformats.org/drawingml/2006/main">
                  <a:graphicData uri="http://schemas.microsoft.com/office/word/2010/wordprocessingShape">
                    <wps:wsp>
                      <wps:cNvSpPr>
                        <a:spLocks noChangeArrowheads="1"/>
                      </wps:cNvSpPr>
                      <wps:spPr bwMode="auto">
                        <a:xfrm>
                          <a:off x="0" y="0"/>
                          <a:ext cx="5915025" cy="1264920"/>
                        </a:xfrm>
                        <a:prstGeom prst="rect">
                          <a:avLst/>
                        </a:prstGeom>
                        <a:solidFill>
                          <a:srgbClr val="FFFFFF"/>
                        </a:solidFill>
                        <a:ln w="9525">
                          <a:solidFill>
                            <a:srgbClr val="000000"/>
                          </a:solidFill>
                          <a:miter lim="800000"/>
                        </a:ln>
                      </wps:spPr>
                      <wps:txbx>
                        <w:txbxContent>
                          <w:p>
                            <w:pPr>
                              <w:snapToGrid w:val="0"/>
                              <w:spacing w:line="36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3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2.75pt;height:99.6pt;width:465.75pt;mso-position-horizontal:center;mso-position-horizontal-relative:margin;z-index:251687936;mso-width-relative:page;mso-height-relative:page;" fillcolor="#FFFFFF" filled="t" stroked="t" coordsize="21600,21600" o:gfxdata="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34pc9YAAAAGAQAADwAAAAAAAAABACAAAAAiAAAAZHJzL2Rvd25y&#10;ZXYueG1sUEsBAhQAFAAAAAgAh07iQHGaePU5AgAAfwQAAA4AAAAAAAAAAQAgAAAAJQEAAGRycy9l&#10;Mm9Eb2MueG1sUEsFBgAAAAAGAAYAWQEAANAFAAAAAA==&#10;">
                <v:fill on="t" focussize="0,0"/>
                <v:stroke color="#000000" miterlimit="8" joinstyle="miter"/>
                <v:imagedata o:title=""/>
                <o:lock v:ext="edit" aspectratio="f"/>
                <v:textbox>
                  <w:txbxContent>
                    <w:p>
                      <w:pPr>
                        <w:snapToGrid w:val="0"/>
                        <w:spacing w:line="36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36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tabs>
          <w:tab w:val="center" w:pos="4657"/>
        </w:tabs>
        <w:spacing w:line="560" w:lineRule="exact"/>
        <w:ind w:firstLine="562"/>
        <w:rPr>
          <w:rFonts w:ascii="仿宋" w:hAnsi="仿宋" w:eastAsia="仿宋"/>
          <w:b/>
          <w:kern w:val="0"/>
          <w:sz w:val="32"/>
          <w:szCs w:val="32"/>
        </w:rPr>
      </w:pPr>
    </w:p>
    <w:p>
      <w:pPr>
        <w:widowControl/>
        <w:tabs>
          <w:tab w:val="center" w:pos="4657"/>
        </w:tabs>
        <w:spacing w:line="560" w:lineRule="exact"/>
        <w:ind w:firstLine="562"/>
        <w:rPr>
          <w:rFonts w:ascii="仿宋" w:hAnsi="仿宋" w:eastAsia="仿宋"/>
          <w:b/>
          <w:kern w:val="0"/>
          <w:sz w:val="32"/>
          <w:szCs w:val="32"/>
        </w:rPr>
      </w:pPr>
    </w:p>
    <w:p>
      <w:pPr>
        <w:widowControl/>
        <w:tabs>
          <w:tab w:val="center" w:pos="4657"/>
        </w:tabs>
        <w:spacing w:line="560" w:lineRule="exact"/>
        <w:ind w:firstLine="562"/>
        <w:rPr>
          <w:rFonts w:ascii="仿宋" w:hAnsi="仿宋" w:eastAsia="仿宋"/>
          <w:b/>
          <w:kern w:val="0"/>
          <w:sz w:val="32"/>
          <w:szCs w:val="32"/>
        </w:rPr>
      </w:pPr>
    </w:p>
    <w:p>
      <w:pPr>
        <w:widowControl/>
        <w:tabs>
          <w:tab w:val="center" w:pos="4657"/>
        </w:tabs>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特别提示：</w:t>
      </w:r>
      <w:r>
        <w:rPr>
          <w:rFonts w:hint="eastAsia" w:ascii="仿宋" w:hAnsi="仿宋" w:eastAsia="仿宋" w:cs="宋体"/>
          <w:b/>
          <w:bCs/>
          <w:kern w:val="0"/>
          <w:sz w:val="32"/>
          <w:szCs w:val="32"/>
        </w:rPr>
        <w:tab/>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1．合同的</w:t>
      </w:r>
      <w:r>
        <w:rPr>
          <w:rFonts w:hint="eastAsia" w:ascii="仿宋" w:hAnsi="仿宋" w:eastAsia="仿宋" w:cs="宋体"/>
          <w:kern w:val="0"/>
          <w:sz w:val="32"/>
          <w:szCs w:val="32"/>
        </w:rPr>
        <w:t>生效条件、</w:t>
      </w:r>
      <w:r>
        <w:rPr>
          <w:rFonts w:hint="eastAsia" w:ascii="仿宋" w:hAnsi="仿宋" w:eastAsia="仿宋"/>
          <w:kern w:val="0"/>
          <w:sz w:val="32"/>
          <w:szCs w:val="32"/>
        </w:rPr>
        <w:t>重大风险及</w:t>
      </w:r>
      <w:r>
        <w:rPr>
          <w:rFonts w:hint="eastAsia" w:ascii="仿宋" w:hAnsi="仿宋" w:eastAsia="仿宋" w:cs="宋体"/>
          <w:kern w:val="0"/>
          <w:sz w:val="32"/>
          <w:szCs w:val="32"/>
        </w:rPr>
        <w:t>重大</w:t>
      </w:r>
      <w:r>
        <w:rPr>
          <w:rFonts w:hint="eastAsia" w:ascii="仿宋" w:hAnsi="仿宋" w:eastAsia="仿宋"/>
          <w:kern w:val="0"/>
          <w:sz w:val="32"/>
          <w:szCs w:val="32"/>
        </w:rPr>
        <w:t>不确定性。</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2．合同</w:t>
      </w:r>
      <w:r>
        <w:rPr>
          <w:rFonts w:hint="eastAsia" w:ascii="仿宋" w:hAnsi="仿宋" w:eastAsia="仿宋" w:cs="宋体"/>
          <w:kern w:val="0"/>
          <w:sz w:val="32"/>
          <w:szCs w:val="32"/>
        </w:rPr>
        <w:t>履行</w:t>
      </w:r>
      <w:r>
        <w:rPr>
          <w:rFonts w:hint="eastAsia" w:ascii="仿宋" w:hAnsi="仿宋" w:eastAsia="仿宋"/>
          <w:kern w:val="0"/>
          <w:sz w:val="32"/>
          <w:szCs w:val="32"/>
        </w:rPr>
        <w:t>对</w:t>
      </w:r>
      <w:r>
        <w:rPr>
          <w:rFonts w:hint="eastAsia" w:ascii="仿宋" w:hAnsi="仿宋" w:eastAsia="仿宋" w:cs="宋体"/>
          <w:bCs/>
          <w:kern w:val="0"/>
          <w:sz w:val="32"/>
          <w:szCs w:val="32"/>
        </w:rPr>
        <w:t>上市</w:t>
      </w:r>
      <w:r>
        <w:rPr>
          <w:rFonts w:hint="eastAsia" w:ascii="仿宋" w:hAnsi="仿宋" w:eastAsia="仿宋"/>
          <w:kern w:val="0"/>
          <w:sz w:val="32"/>
          <w:szCs w:val="32"/>
        </w:rPr>
        <w:t>公司本年度</w:t>
      </w:r>
      <w:r>
        <w:rPr>
          <w:rFonts w:hint="eastAsia" w:ascii="仿宋" w:hAnsi="仿宋" w:eastAsia="仿宋" w:cs="宋体"/>
          <w:kern w:val="0"/>
          <w:sz w:val="32"/>
          <w:szCs w:val="32"/>
        </w:rPr>
        <w:t>经营成果的影响</w:t>
      </w:r>
      <w:r>
        <w:rPr>
          <w:rFonts w:hint="eastAsia" w:ascii="仿宋" w:hAnsi="仿宋" w:eastAsia="仿宋"/>
          <w:kern w:val="0"/>
          <w:sz w:val="32"/>
          <w:szCs w:val="32"/>
        </w:rPr>
        <w:t>。</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cs="宋体"/>
          <w:kern w:val="0"/>
          <w:sz w:val="32"/>
          <w:szCs w:val="32"/>
        </w:rPr>
        <w:t>．</w:t>
      </w:r>
      <w:r>
        <w:rPr>
          <w:rFonts w:hint="eastAsia" w:ascii="仿宋" w:hAnsi="仿宋" w:eastAsia="仿宋"/>
          <w:kern w:val="0"/>
          <w:sz w:val="32"/>
          <w:szCs w:val="32"/>
        </w:rPr>
        <w:t>最近三年披露的框架协议或意向性协议无</w:t>
      </w:r>
      <w:r>
        <w:rPr>
          <w:rFonts w:hint="eastAsia" w:ascii="仿宋" w:hAnsi="仿宋" w:eastAsia="仿宋" w:cs="宋体"/>
          <w:bCs/>
          <w:kern w:val="0"/>
          <w:sz w:val="32"/>
          <w:szCs w:val="32"/>
        </w:rPr>
        <w:t>后续</w:t>
      </w:r>
      <w:r>
        <w:rPr>
          <w:rFonts w:hint="eastAsia" w:ascii="仿宋" w:hAnsi="仿宋" w:eastAsia="仿宋"/>
          <w:kern w:val="0"/>
          <w:sz w:val="32"/>
          <w:szCs w:val="32"/>
        </w:rPr>
        <w:t>进展或</w:t>
      </w:r>
      <w:r>
        <w:rPr>
          <w:rFonts w:hint="eastAsia" w:ascii="仿宋" w:hAnsi="仿宋" w:eastAsia="仿宋" w:cs="宋体"/>
          <w:kern w:val="0"/>
          <w:sz w:val="32"/>
          <w:szCs w:val="32"/>
        </w:rPr>
        <w:t>进展</w:t>
      </w:r>
      <w:r>
        <w:rPr>
          <w:rFonts w:hint="eastAsia" w:ascii="仿宋" w:hAnsi="仿宋" w:eastAsia="仿宋"/>
          <w:kern w:val="0"/>
          <w:sz w:val="32"/>
          <w:szCs w:val="32"/>
        </w:rPr>
        <w:t>未达预期的情况（</w:t>
      </w:r>
      <w:r>
        <w:rPr>
          <w:rFonts w:hint="eastAsia" w:ascii="仿宋" w:hAnsi="仿宋" w:eastAsia="仿宋" w:cs="宋体"/>
          <w:kern w:val="0"/>
          <w:sz w:val="32"/>
          <w:szCs w:val="32"/>
        </w:rPr>
        <w:t>如适用</w:t>
      </w:r>
      <w:r>
        <w:rPr>
          <w:rFonts w:hint="eastAsia" w:ascii="仿宋" w:hAnsi="仿宋" w:eastAsia="仿宋"/>
          <w:kern w:val="0"/>
          <w:sz w:val="32"/>
          <w:szCs w:val="32"/>
        </w:rPr>
        <w:t>）。</w:t>
      </w: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一、合同签署概况</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1．签署合同已履行的审批程序、交易对手方、签署时间、签署地点、合同类型、合同标的、合同期限、合同金额，合同签订的主要背景与目的等概况。</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2．签署框架性协议或意向性协议以及合同尚未生效的，说明尚需履行的审批程序和尚待满足的条件。</w:t>
      </w: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二、</w:t>
      </w:r>
      <w:r>
        <w:rPr>
          <w:rFonts w:hint="eastAsia" w:ascii="仿宋" w:hAnsi="仿宋" w:eastAsia="仿宋" w:cs="宋体"/>
          <w:b/>
          <w:bCs/>
          <w:kern w:val="0"/>
          <w:sz w:val="32"/>
          <w:szCs w:val="32"/>
        </w:rPr>
        <w:t>交易对手方介绍</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1．基本情况：名称、法定代表人、注册资本、主营业务、注册地址、是否与公司存在关联关系等，交易对方为境外法律主体的，还应当以中外文对照披露交易对方的名称和注册地址等信息。</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2．类似交易情况：最近三年公司与交易对手方发生类似交易情况，说明具体金额及占各年相关业务的比重。</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3．履约能力分析：结合交易对手方信用状况及支付能力，就交易对手方向上市公司支付款项或提供货物等履约能力进行合理判断。</w:t>
      </w:r>
    </w:p>
    <w:p>
      <w:pPr>
        <w:widowControl/>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三、合同主要内容</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1．对于合同的主要条款应当单独说明，包括但不限于：各方权利义务、交易价格、定价依据、结算方式、协议签署时间、生效条件及时间、履行期限、违约责任等合同主要条款。</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2．合同存在违约责任条款的，应披露如交易对手方违约，交易对手方对公司的补偿条款；如公司违约，公司对交易对手方的补偿。</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3．合同采用分期付款方式结算的，应说明分期付款期限、每期付款金额和付款条件。</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公司参加工程施工、工程承包、商品采购等项目的投标，在获悉已被确定为中标单位并已进入公示期、但尚未取得中标通知书或相关证明文件的，应披露中标公示的主要内容，包括但不限于：公示媒体名称、招标人、项目概况、项目金额、项目执行期限、中标单位、公示起止时间、中标金额、中标事项对公司业绩的影响，并对获得中标通知书存在不确定性和项目执行过程中面临的困难等事项进行风险提示。</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公司在后续取得中标通知书的，应当及时披露项目中标有关情况。预计无法取得中标通知书的，应当及时披露进展情况并充分提示风险。</w:t>
      </w:r>
    </w:p>
    <w:p>
      <w:pPr>
        <w:widowControl/>
        <w:spacing w:line="56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对于工程承包合同，还应当披露工程项目的建设内容、工程施工的进度计划、收入确认政策、资金来源等内容；对于公司与他人共同承接建设工程项目，还应当披露项目投资金额、公司承担的投资金额、合作模式、运作方式、项目期限以及公司的收益来源等内容。</w:t>
      </w:r>
    </w:p>
    <w:p>
      <w:pPr>
        <w:widowControl/>
        <w:spacing w:line="560" w:lineRule="exact"/>
        <w:ind w:firstLine="643" w:firstLineChars="200"/>
        <w:rPr>
          <w:rFonts w:ascii="仿宋" w:hAnsi="仿宋" w:eastAsia="仿宋"/>
          <w:kern w:val="0"/>
          <w:sz w:val="32"/>
          <w:szCs w:val="32"/>
        </w:rPr>
      </w:pPr>
      <w:r>
        <w:rPr>
          <w:rFonts w:hint="eastAsia" w:ascii="仿宋" w:hAnsi="仿宋" w:eastAsia="仿宋"/>
          <w:b/>
          <w:kern w:val="0"/>
          <w:sz w:val="32"/>
          <w:szCs w:val="32"/>
        </w:rPr>
        <w:t>四、</w:t>
      </w:r>
      <w:r>
        <w:rPr>
          <w:rFonts w:hint="eastAsia" w:ascii="仿宋" w:hAnsi="仿宋" w:eastAsia="仿宋" w:cs="宋体"/>
          <w:b/>
          <w:bCs/>
          <w:kern w:val="0"/>
          <w:sz w:val="32"/>
          <w:szCs w:val="32"/>
        </w:rPr>
        <w:t>合同</w:t>
      </w:r>
      <w:r>
        <w:rPr>
          <w:rFonts w:hint="eastAsia" w:ascii="仿宋" w:hAnsi="仿宋" w:eastAsia="仿宋"/>
          <w:b/>
          <w:kern w:val="0"/>
          <w:sz w:val="32"/>
          <w:szCs w:val="32"/>
        </w:rPr>
        <w:t>对上市公司的影响</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公司应当客观地披露合同对公司的具体影响，包括但不限于：</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1．</w:t>
      </w:r>
      <w:r>
        <w:rPr>
          <w:rFonts w:hint="eastAsia" w:ascii="仿宋" w:hAnsi="仿宋" w:eastAsia="仿宋"/>
          <w:kern w:val="0"/>
          <w:sz w:val="32"/>
          <w:szCs w:val="32"/>
        </w:rPr>
        <w:t>合同对公司本年度以及未来各会计年度财务状况、经营成果的影响。</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上市公司披露的合同涉及新业务、新技术、新模式、新产品或其他市场关注度较高的事项的，应当披露进入新领域的原因及可行性论证情况，包括但不限于人员配备、相应资质、资金来源等，并分析新领域的行业竞争情况、平均盈利水平及其与公司现有业务的协同效应。</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3．预计合同相关业务的盈利水平显著低于公司正常业务盈利水平的，应说明具体情况及其影响。</w:t>
      </w:r>
    </w:p>
    <w:p>
      <w:pPr>
        <w:widowControl/>
        <w:spacing w:line="560" w:lineRule="exact"/>
        <w:ind w:firstLine="640" w:firstLineChars="200"/>
        <w:rPr>
          <w:rFonts w:ascii="仿宋" w:hAnsi="仿宋" w:eastAsia="仿宋"/>
          <w:kern w:val="0"/>
          <w:sz w:val="32"/>
          <w:szCs w:val="32"/>
        </w:rPr>
      </w:pPr>
      <w:r>
        <w:rPr>
          <w:rFonts w:hint="eastAsia" w:ascii="仿宋" w:hAnsi="仿宋" w:eastAsia="仿宋" w:cs="宋体"/>
          <w:kern w:val="0"/>
          <w:sz w:val="32"/>
          <w:szCs w:val="32"/>
        </w:rPr>
        <w:t>4．合同履行对公司业务独立性的影响，包括公司主要业务</w:t>
      </w:r>
      <w:r>
        <w:rPr>
          <w:rFonts w:hint="eastAsia" w:ascii="仿宋" w:hAnsi="仿宋" w:eastAsia="仿宋"/>
          <w:kern w:val="0"/>
          <w:sz w:val="32"/>
          <w:szCs w:val="32"/>
        </w:rPr>
        <w:t>是否因履行合同而对当事人形成依赖及依赖程度、相关解决措施等。</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6．合同对公司现有业务的协同效应和公司转型升级等经营相关的影响等。</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7．董事会对合同必要性、公司和交易对方的履约能力的分析说明（如适用）。</w:t>
      </w:r>
    </w:p>
    <w:p>
      <w:pPr>
        <w:widowControl/>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五、风险提示</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公司应根据合同性质</w:t>
      </w:r>
      <w:r>
        <w:rPr>
          <w:rFonts w:hint="eastAsia" w:ascii="仿宋" w:hAnsi="仿宋" w:eastAsia="仿宋" w:cs="宋体"/>
          <w:kern w:val="0"/>
          <w:sz w:val="32"/>
          <w:szCs w:val="32"/>
        </w:rPr>
        <w:t>和交易双方</w:t>
      </w:r>
      <w:r>
        <w:rPr>
          <w:rFonts w:hint="eastAsia" w:ascii="仿宋" w:hAnsi="仿宋" w:eastAsia="仿宋"/>
          <w:kern w:val="0"/>
          <w:sz w:val="32"/>
          <w:szCs w:val="32"/>
        </w:rPr>
        <w:t>的特点，结合市场环境，审慎评估并充分提示相关风险，包括但不限于：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1．合同签署对公司当期业绩是否产生重大影响。</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披露框架协议或意向性协议时，其法律效力或对交易双方的约束力较低的，应提示正式合同的签订时间、合同金额、实际执行金额存在重大不确定性的风险，并对合同尚需履行审批程序和尚需满足条件进行特别提示。</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3．合同涉及新业务、新技术、新模式、新产品或其他市场关注度较高的事项的，应提示公司进入新的业务领域，合同执行及其对公司业绩的影响存在较大不确定性的风险。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4．合同履行期较长、合同金额巨大或交易双方中任何一方履约能力存疑的，应提示合同不能正常履行的风险。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5．合同签订后仍需履行招投标程序或其他审批程序方能生效的，应说明该情况，招投标程序或其他审批程序预计履行的时间，并提示能否中标或获得批准、合同执行的起始期等事项存在较大不确定性的风险。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6．公司中标处于公示期但尚未取得中标通知书的，应提示能否获得中标通知书存在不确定性的风险。</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7．合同执行过程中在法规政策、履约能力、技术、产能、市场、价格、汇率等方面可能存在的其他困难、不确定性或风险。</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六、合同的审议程序</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1．董事会表决情况（如适用）。</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七、其他相关说明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公司披露框架协议或意向性协议时，应当列示公司最近三年披露的框架性协议或意向性协议的主要内容、截至目前的执行情况、是否和预期存在差异，如果存在重大差异，应披露无后续进展或未达预期的具体情况及原因。</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公司披露框架协议或意向性协议时，应当同时披露协议签订前三个月内上市公司控股股东、持股5%以上股东、董监高持股变动情况，以及未来三个月内上市公司控股股东、持股5%以上股东、董监高所持限售股份解除限售及股份减持的计划。</w:t>
      </w:r>
    </w:p>
    <w:p>
      <w:pPr>
        <w:spacing w:line="560" w:lineRule="exact"/>
        <w:ind w:firstLine="643" w:firstLineChars="200"/>
        <w:rPr>
          <w:rFonts w:ascii="仿宋" w:hAnsi="仿宋" w:eastAsia="仿宋"/>
          <w:sz w:val="32"/>
          <w:szCs w:val="32"/>
        </w:rPr>
      </w:pPr>
      <w:r>
        <w:rPr>
          <w:rFonts w:hint="eastAsia" w:ascii="仿宋" w:hAnsi="仿宋" w:eastAsia="仿宋" w:cs="宋体"/>
          <w:b/>
          <w:kern w:val="0"/>
          <w:sz w:val="32"/>
          <w:szCs w:val="32"/>
        </w:rPr>
        <w:t>八、备查文件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kern w:val="0"/>
          <w:sz w:val="32"/>
          <w:szCs w:val="32"/>
        </w:rPr>
        <w:t>框架协议或意向性协议（如有）</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2．合同（如有）；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3．深交所要求的其他文件。</w:t>
      </w:r>
    </w:p>
    <w:p>
      <w:pPr>
        <w:spacing w:line="560" w:lineRule="exact"/>
        <w:ind w:firstLine="20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298" w:name="_Toc40795910"/>
      <w:bookmarkStart w:id="299" w:name="_Toc91782453"/>
      <w:bookmarkStart w:id="300" w:name="_Toc91607655"/>
      <w:bookmarkStart w:id="301" w:name="_Toc91781172"/>
      <w:bookmarkStart w:id="302" w:name="_Toc11257"/>
      <w:bookmarkStart w:id="303" w:name="_Toc60758253"/>
      <w:bookmarkStart w:id="304" w:name="_Toc138173241"/>
      <w:bookmarkStart w:id="305" w:name="_Toc40813183"/>
      <w:bookmarkStart w:id="306" w:name="_Toc15391887"/>
      <w:r>
        <w:rPr>
          <w:rFonts w:hint="eastAsia" w:ascii="方正小标宋简体" w:hAnsi="仿宋" w:eastAsia="方正小标宋简体"/>
          <w:kern w:val="44"/>
          <w:sz w:val="44"/>
          <w:szCs w:val="44"/>
        </w:rPr>
        <w:t>交易类第9号　上</w:t>
      </w:r>
      <w:bookmarkEnd w:id="298"/>
      <w:bookmarkStart w:id="307" w:name="_Toc40795911"/>
      <w:r>
        <w:rPr>
          <w:rFonts w:hint="eastAsia" w:ascii="方正小标宋简体" w:hAnsi="仿宋" w:eastAsia="方正小标宋简体"/>
          <w:kern w:val="44"/>
          <w:sz w:val="44"/>
          <w:szCs w:val="44"/>
        </w:rPr>
        <w:t>市公司关联交易公告格式</w:t>
      </w:r>
      <w:bookmarkEnd w:id="299"/>
      <w:bookmarkEnd w:id="300"/>
      <w:bookmarkEnd w:id="301"/>
      <w:bookmarkEnd w:id="302"/>
      <w:bookmarkEnd w:id="303"/>
      <w:bookmarkEnd w:id="304"/>
      <w:bookmarkEnd w:id="305"/>
      <w:bookmarkEnd w:id="306"/>
      <w:bookmarkEnd w:id="307"/>
    </w:p>
    <w:p>
      <w:pPr>
        <w:adjustRightInd w:val="0"/>
        <w:snapToGrid w:val="0"/>
        <w:spacing w:line="560" w:lineRule="exact"/>
        <w:ind w:firstLine="643" w:firstLineChars="200"/>
        <w:rPr>
          <w:rFonts w:ascii="仿宋" w:hAnsi="仿宋" w:eastAsia="仿宋"/>
          <w:b/>
          <w:sz w:val="32"/>
          <w:szCs w:val="32"/>
        </w:rPr>
      </w:pP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适用情形：</w:t>
      </w:r>
      <w:r>
        <w:rPr>
          <w:rFonts w:hint="eastAsia" w:ascii="仿宋" w:hAnsi="仿宋" w:eastAsia="仿宋"/>
          <w:sz w:val="32"/>
          <w:szCs w:val="32"/>
        </w:rPr>
        <w:t>本格式为关联交易的特定要求。上市公司还应当根据具体交易类型，参照“上市公司购买、出售资产公告格式”“上市公司对外（含委托）投资公告格式”等的要求披露有关内容。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格式适用于达到本所《股票上市规则》规定的关联交易标准，但未达到中国证监会《上市公司重大资产重组管理办法》规定的重大重组标准的关联交易事项。达到标准的重大资产重组关联交易事项应根据《上市公司重大资产重组管理办法》等规定履行信息披露义务。</w:t>
      </w:r>
    </w:p>
    <w:p>
      <w:pPr>
        <w:adjustRightInd w:val="0"/>
        <w:snapToGrid w:val="0"/>
        <w:spacing w:line="560" w:lineRule="exact"/>
        <w:ind w:firstLine="640" w:firstLineChars="200"/>
        <w:rPr>
          <w:rFonts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XXXXXX股份有限公司关联交易公告</w:t>
      </w:r>
    </w:p>
    <w:p>
      <w:pPr>
        <w:autoSpaceDE w:val="0"/>
        <w:autoSpaceDN w:val="0"/>
        <w:adjustRightInd w:val="0"/>
        <w:spacing w:line="560" w:lineRule="exact"/>
        <w:ind w:left="360"/>
        <w:rPr>
          <w:rFonts w:ascii="仿宋" w:hAnsi="仿宋" w:eastAsia="仿宋"/>
          <w:sz w:val="32"/>
          <w:szCs w:val="32"/>
        </w:rPr>
      </w:pPr>
      <w:r>
        <w:rPr>
          <w:rFonts w:hint="eastAsi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41275</wp:posOffset>
                </wp:positionV>
                <wp:extent cx="5915025" cy="1628775"/>
                <wp:effectExtent l="0" t="0" r="28575" b="28575"/>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3.25pt;height:128.25pt;width:465.75pt;mso-position-horizontal:center;mso-position-horizontal-relative:margin;z-index:251688960;mso-width-relative:page;mso-height-relative:page;" fillcolor="#FFFFFF" filled="t" stroked="t" coordsize="21600,21600" o:gfxdata="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VoZj1QAAAAYBAAAPAAAAAAAAAAEAIAAAACIAAABkcnMvZG93bnJldi54&#10;bWxQSwECFAAUAAAACACHTuJABS7k5zYCAAB9BAAADgAAAAAAAAABACAAAAAkAQAAZHJzL2Uyb0Rv&#10;Yy54bWxQSwUGAAAAAAYABgBZAQAAzA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rPr>
          <w:rFonts w:ascii="仿宋" w:hAnsi="仿宋" w:eastAsia="仿宋"/>
          <w:b/>
          <w:sz w:val="32"/>
          <w:szCs w:val="32"/>
        </w:rPr>
      </w:pPr>
    </w:p>
    <w:p>
      <w:pPr>
        <w:autoSpaceDE w:val="0"/>
        <w:autoSpaceDN w:val="0"/>
        <w:adjustRightInd w:val="0"/>
        <w:spacing w:line="560" w:lineRule="exact"/>
        <w:rPr>
          <w:rFonts w:ascii="仿宋" w:hAnsi="仿宋" w:eastAsia="仿宋"/>
          <w:b/>
          <w:sz w:val="32"/>
          <w:szCs w:val="32"/>
        </w:rPr>
      </w:pPr>
    </w:p>
    <w:p>
      <w:pPr>
        <w:autoSpaceDE w:val="0"/>
        <w:autoSpaceDN w:val="0"/>
        <w:adjustRightInd w:val="0"/>
        <w:spacing w:line="560" w:lineRule="exact"/>
        <w:rPr>
          <w:rFonts w:ascii="仿宋" w:hAnsi="仿宋" w:eastAsia="仿宋"/>
          <w:b/>
          <w:sz w:val="32"/>
          <w:szCs w:val="32"/>
        </w:rPr>
      </w:pPr>
    </w:p>
    <w:p>
      <w:pPr>
        <w:tabs>
          <w:tab w:val="left" w:pos="527"/>
          <w:tab w:val="center" w:pos="4153"/>
        </w:tabs>
        <w:spacing w:line="360" w:lineRule="auto"/>
        <w:rPr>
          <w:rFonts w:ascii="仿宋" w:hAnsi="仿宋" w:eastAsia="仿宋"/>
          <w:b/>
          <w:sz w:val="32"/>
          <w:szCs w:val="32"/>
        </w:rPr>
      </w:pPr>
      <w:r>
        <w:rPr>
          <w:rFonts w:hint="eastAsia" w:ascii="仿宋" w:hAnsi="仿宋" w:eastAsia="仿宋"/>
          <w:b/>
          <w:sz w:val="32"/>
          <w:szCs w:val="32"/>
        </w:rPr>
        <w:tab/>
      </w:r>
    </w:p>
    <w:p>
      <w:pPr>
        <w:tabs>
          <w:tab w:val="left" w:pos="527"/>
          <w:tab w:val="center" w:pos="4153"/>
        </w:tabs>
        <w:spacing w:line="560" w:lineRule="exact"/>
        <w:ind w:firstLine="643" w:firstLineChars="200"/>
        <w:rPr>
          <w:rFonts w:ascii="仿宋" w:hAnsi="仿宋" w:eastAsia="仿宋"/>
          <w:b/>
          <w:sz w:val="32"/>
          <w:szCs w:val="32"/>
        </w:rPr>
      </w:pPr>
      <w:r>
        <w:rPr>
          <w:rFonts w:hint="eastAsia" w:ascii="仿宋" w:hAnsi="仿宋" w:eastAsia="仿宋"/>
          <w:b/>
          <w:sz w:val="32"/>
          <w:szCs w:val="32"/>
        </w:rPr>
        <w:t>特别风险提示（如适用）：</w:t>
      </w:r>
      <w:r>
        <w:rPr>
          <w:rFonts w:hint="eastAsia" w:ascii="仿宋" w:hAnsi="仿宋" w:eastAsia="仿宋"/>
          <w:sz w:val="32"/>
          <w:szCs w:val="32"/>
        </w:rPr>
        <w:t>本次交易存在重大交易风险，或交易完成后对上市公司产生较大风险的，应当以“特别提示”的形式逐项披露交易风险和交易完成后可能给上市公司带来的风险因素：</w:t>
      </w:r>
    </w:p>
    <w:p>
      <w:pPr>
        <w:tabs>
          <w:tab w:val="left" w:pos="527"/>
          <w:tab w:val="center" w:pos="4153"/>
        </w:tabs>
        <w:spacing w:line="560" w:lineRule="exact"/>
        <w:ind w:firstLine="640" w:firstLineChars="200"/>
        <w:rPr>
          <w:rFonts w:ascii="仿宋" w:hAnsi="仿宋" w:eastAsia="仿宋"/>
          <w:b/>
          <w:sz w:val="32"/>
          <w:szCs w:val="32"/>
        </w:rPr>
      </w:pPr>
      <w:r>
        <w:rPr>
          <w:rFonts w:hint="eastAsia" w:ascii="仿宋" w:hAnsi="仿宋" w:eastAsia="仿宋"/>
          <w:sz w:val="32"/>
          <w:szCs w:val="32"/>
        </w:rPr>
        <w:t>1．交易风险通常包括标的资产估值风险、标的资产盈利能力波动风险、盈利预测的风险、审批风险、本次交易价格与历史交易价格存在较大差异的风险、标的资产权属风险等。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2．交易完成后对上市公司的风险通常包括市场风险、经营风险、技术风险、汇率风险、政策风险、公司治理与内部控制风险等。</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一、关联交易概述</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1．在本概述中，上市公司应当扼要阐明本次关联交易的主要内容，包括协议签署日期、地点，交易各方当事人名称，交易标的情况。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2．公司董事会应根据本所《股票上市规则》等规定，简要陈述交易各方的关联关系，并明确表示：本次交易构成了该公司的关联交易。</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公司董事会应当披露董事会审议关联交易的表决情况、关联董事回避表决的情况、全体独立董事过半数同意以及独立董事专门会议审议的情况。对于需要提交股东大会批准的关联交易，应当在公告中特别载明：“此项交易尚需获得股东大会的批准，与该关联交易有利害关系的关联人将回避表决”。</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4．明确说明本次关联交易是否构成《上市公司重大资产重组管理办法》规定的重大资产重组、是否构成重组上市，以及是否需要经过有关部门批准。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二、关联方基本情况</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1．关联方的姓名或名称、住所、企业性质、注册地、主要办公地点、法定代表人、注册资本、主营业务、主要股东和实际控制人。</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2．历史沿革、主要业务最近三年发展状况和最近一个会计年度的营业收入、净利润和最近一个会计期末的净资产等财务数据。</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3．构成何种具体关联关系的说明。</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4．关联方是否为失信被执行人，如是，应进一步披露其失信情况、受到的惩戒措施、对本次交易的影响，以及公司所采取的应对措施等。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三、关联交易标的基本情况</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关联交易标的基本情况参照“上市公司购买、出售资产公告格式”“上市公司对外（含委托）投资公告格式”等关于标的资产的要求披露有关内容。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四、关联交易的定价政策及定价依据</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包括定价政策和依据、成交价格与交易标的账面值、评估值以及明确、公允的市场价格之间的关系及公允性分析，以及因交易标的特殊而需要说明的与定价有关的其他特定事项。</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若成交价格与账面值、评估值或市场价格差异较大或交易有失公允的，应当披露原因，本次关联交易所产生的利益转移方向，对公司的财务影响，是否存在其他相关利益安排，是否可能导致未来关联人对上市公司形成潜在损害等情况；提交股东大会审议的关联购买资产事项，若成交价格相比交易标的账面值溢价超过100%，交易对方未提供在一定期限内交易标的盈利担保、补偿承诺或者回购承诺的，上市公司应当说明具体原因，是否采取相关保障措施，是否有利于保护上市公司利益及中小股东合法权益。</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董事会应当对此作出说明。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五、关联交易协议的主要内容</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成交金额、支付方式（如现金、股权、资产置换等）、支付期限或分期付款的安排；关联人在交易中所占权益的性质和比重；协议的生效条件、生效时间以及有效期限等；交易协议生效存在附条件或期限的，应当予以特别说明。如存在上市公司预付大额定金、付款与交割约定显失公允等情形的，应分析披露相关约定的原因及公允性、是否构成潜在财务资助、资金占用等。</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2．交易标的的交付状态、交付和过户时间；存在过渡期安排的，还应当对过渡期相关标的资产产生的损益归属作出明确说明。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六、涉及关联交易的其他安排</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主要介绍购买、出售资产所涉及的人员安置、土地租赁等情况，交易完成后可能产生关联交易的说明；是否与关联人产生同业竞争的说明以及解决措施，购买资产后是否做到与控股股东及其关联人在人员、资产、财务上分开及具体计划；出售资产所得款项的用途；购买资产的资金来源，购买资产是否与募集资金说明书所列示的项目有关。</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如本次购买、出售资产交易还伴随有上市公司股权转让或者高层人事变动计划等其他安排的，应披露这些安排的具体内容。</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如此次交易完成后可能导致上市公司控股股东、实际控制人及其他关联人对上市公司形成非经营性资金占用的，应当在公告中明确合理的解决方案，并在相关交易实施完成前解决，避免形成非经营性资金占用。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七、交易目的和对上市公司的影响</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关联交易的必要性和真实意图，上市公司不与独立市场第三方交易，而必须和该关联人进行本次关联交易的原因，如涉及履行以前作出的相关承诺的，需简要说明承诺情况等。</w:t>
      </w:r>
    </w:p>
    <w:p>
      <w:pPr>
        <w:tabs>
          <w:tab w:val="left" w:pos="1260"/>
        </w:tabs>
        <w:autoSpaceDE w:val="0"/>
        <w:autoSpaceDN w:val="0"/>
        <w:adjustRightInd w:val="0"/>
        <w:spacing w:line="560" w:lineRule="exact"/>
        <w:jc w:val="left"/>
        <w:rPr>
          <w:rFonts w:ascii="仿宋" w:hAnsi="仿宋" w:eastAsia="仿宋"/>
          <w:sz w:val="32"/>
          <w:szCs w:val="32"/>
        </w:rPr>
      </w:pPr>
      <w:r>
        <w:rPr>
          <w:rFonts w:hint="eastAsia" w:ascii="仿宋" w:hAnsi="仿宋" w:eastAsia="仿宋"/>
          <w:sz w:val="32"/>
          <w:szCs w:val="32"/>
        </w:rPr>
        <w:t>从对本期和未来财务状况、经营成果、现金流量和会计核算方法的影响、财务影响和非财务影响、长期影响和短期影响、一次性影响和持续性影响等多个方面分析披露本次交易对上市公司的影响；如关联交易影响生产经营相关指标的，应增加披露生产经营相关指标的变化。</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简述关联交易对交易对方的影响以及交易对方履约能力的分析。</w:t>
      </w:r>
    </w:p>
    <w:p>
      <w:pPr>
        <w:tabs>
          <w:tab w:val="left" w:pos="126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八、与该关联人累计已发生的各类关联交易情况</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当年年初至披露日与该关联人（包含受同一主体控制或相互存在控制关系的其他关联人）累计已发生的各类关联交易的总金额。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九、独立董事过半数同意意见</w:t>
      </w:r>
    </w:p>
    <w:p>
      <w:pPr>
        <w:tabs>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主要披露关于关联交易已经全体独立董事过半数同意以及独立董事专门会议审议的情况。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十、中介机构意见结论（如适用）</w:t>
      </w:r>
    </w:p>
    <w:p>
      <w:pPr>
        <w:tabs>
          <w:tab w:val="left" w:pos="1260"/>
        </w:tabs>
        <w:autoSpaceDE w:val="0"/>
        <w:autoSpaceDN w:val="0"/>
        <w:adjustRightInd w:val="0"/>
        <w:spacing w:line="560" w:lineRule="exact"/>
        <w:ind w:firstLine="640" w:firstLineChars="200"/>
        <w:rPr>
          <w:rFonts w:ascii="仿宋" w:hAnsi="仿宋" w:eastAsia="仿宋"/>
          <w:b/>
          <w:sz w:val="32"/>
          <w:szCs w:val="32"/>
        </w:rPr>
      </w:pPr>
      <w:r>
        <w:rPr>
          <w:rFonts w:hint="eastAsia" w:ascii="仿宋" w:hAnsi="仿宋" w:eastAsia="仿宋"/>
          <w:sz w:val="32"/>
          <w:szCs w:val="32"/>
        </w:rPr>
        <w:t>上市公司在关联交易中聘任中介机构出具专业意见的，应明确披露中介机构对本次资产交易的专业意见结论。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十一、其他</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深交所或公司董事会认为有助于说明关联交易实质的其他内容。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十二、备查文件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2．全体独立董事过半数同意的证明文件；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3．监事会决议（如适用）；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4．意向书、协议或合同；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5．标的资产财务报表；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6．审计报告（如适用）；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7．评估报告（如适用）；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8．法律意见书（如适用）；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9．财务顾问报告（如适用）；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10．有权机构的批文（如适用）；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11．上市公司关联交易情况概述表；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12．深交所要求的其他文件。</w:t>
      </w:r>
    </w:p>
    <w:p>
      <w:pPr>
        <w:spacing w:line="560" w:lineRule="exact"/>
        <w:ind w:firstLine="3960"/>
        <w:rPr>
          <w:rFonts w:ascii="仿宋" w:hAnsi="仿宋" w:eastAsia="仿宋"/>
          <w:sz w:val="32"/>
          <w:szCs w:val="32"/>
        </w:rPr>
      </w:pPr>
    </w:p>
    <w:p>
      <w:pPr>
        <w:spacing w:line="560" w:lineRule="exact"/>
        <w:ind w:firstLine="3960"/>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5040"/>
        <w:rPr>
          <w:rFonts w:ascii="仿宋" w:hAnsi="仿宋" w:eastAsia="仿宋"/>
          <w:sz w:val="32"/>
          <w:szCs w:val="32"/>
        </w:rPr>
      </w:pPr>
      <w:r>
        <w:rPr>
          <w:rFonts w:hint="eastAsia" w:ascii="仿宋" w:hAnsi="仿宋" w:eastAsia="仿宋"/>
          <w:sz w:val="32"/>
          <w:szCs w:val="32"/>
        </w:rPr>
        <w:t>XXXX年XX月XX日</w:t>
      </w:r>
    </w:p>
    <w:p>
      <w:pPr>
        <w:spacing w:line="560" w:lineRule="exact"/>
        <w:rPr>
          <w:rFonts w:ascii="仿宋" w:hAnsi="仿宋" w:eastAsia="仿宋"/>
          <w:b/>
          <w:sz w:val="32"/>
          <w:szCs w:val="32"/>
        </w:rPr>
      </w:pPr>
    </w:p>
    <w:p>
      <w:pPr>
        <w:rPr>
          <w:rFonts w:ascii="黑体" w:hAnsi="黑体" w:eastAsia="黑体"/>
          <w:bCs/>
          <w:sz w:val="32"/>
          <w:szCs w:val="32"/>
        </w:rPr>
      </w:pPr>
      <w:r>
        <w:rPr>
          <w:rFonts w:hint="eastAsia" w:ascii="黑体" w:hAnsi="黑体" w:eastAsia="黑体"/>
          <w:bCs/>
          <w:sz w:val="32"/>
          <w:szCs w:val="32"/>
        </w:rPr>
        <w:br w:type="page"/>
      </w:r>
    </w:p>
    <w:p>
      <w:pPr>
        <w:spacing w:line="560" w:lineRule="exact"/>
        <w:rPr>
          <w:rFonts w:ascii="黑体" w:hAnsi="黑体" w:eastAsia="黑体"/>
          <w:bCs/>
          <w:sz w:val="32"/>
          <w:szCs w:val="32"/>
        </w:rPr>
      </w:pPr>
      <w:r>
        <w:rPr>
          <w:rFonts w:hint="eastAsia" w:ascii="黑体" w:hAnsi="黑体" w:eastAsia="黑体"/>
          <w:bCs/>
          <w:sz w:val="32"/>
          <w:szCs w:val="32"/>
        </w:rPr>
        <w:t>附件</w:t>
      </w:r>
    </w:p>
    <w:p>
      <w:pPr>
        <w:spacing w:line="360" w:lineRule="auto"/>
        <w:rPr>
          <w:rFonts w:ascii="黑体" w:hAnsi="黑体" w:eastAsia="黑体"/>
          <w:bCs/>
          <w:sz w:val="32"/>
          <w:szCs w:val="32"/>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上市公司关联交易情况概述表</w:t>
      </w:r>
    </w:p>
    <w:tbl>
      <w:tblPr>
        <w:tblStyle w:val="59"/>
        <w:tblW w:w="5000" w:type="pct"/>
        <w:jc w:val="center"/>
        <w:tblLayout w:type="autofit"/>
        <w:tblCellMar>
          <w:top w:w="0" w:type="dxa"/>
          <w:left w:w="108" w:type="dxa"/>
          <w:bottom w:w="0" w:type="dxa"/>
          <w:right w:w="108" w:type="dxa"/>
        </w:tblCellMar>
      </w:tblPr>
      <w:tblGrid>
        <w:gridCol w:w="737"/>
        <w:gridCol w:w="1238"/>
        <w:gridCol w:w="1662"/>
        <w:gridCol w:w="1001"/>
        <w:gridCol w:w="858"/>
        <w:gridCol w:w="1001"/>
        <w:gridCol w:w="819"/>
        <w:gridCol w:w="596"/>
        <w:gridCol w:w="610"/>
      </w:tblGrid>
      <w:tr>
        <w:tblPrEx>
          <w:tblCellMar>
            <w:top w:w="0" w:type="dxa"/>
            <w:left w:w="108" w:type="dxa"/>
            <w:bottom w:w="0" w:type="dxa"/>
            <w:right w:w="108" w:type="dxa"/>
          </w:tblCellMar>
        </w:tblPrEx>
        <w:trPr>
          <w:trHeight w:val="1140" w:hRule="atLeast"/>
          <w:jc w:val="center"/>
        </w:trPr>
        <w:tc>
          <w:tcPr>
            <w:tcW w:w="51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80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交易类型</w:t>
            </w:r>
          </w:p>
        </w:tc>
        <w:tc>
          <w:tcPr>
            <w:tcW w:w="498" w:type="pct"/>
            <w:tcBorders>
              <w:top w:val="single" w:color="auto" w:sz="4" w:space="0"/>
              <w:left w:val="nil"/>
              <w:bottom w:val="single" w:color="auto" w:sz="4" w:space="0"/>
              <w:right w:val="nil"/>
            </w:tcBorders>
            <w:noWrap/>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计算指标分子</w:t>
            </w: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（万元）</w:t>
            </w:r>
          </w:p>
        </w:tc>
        <w:tc>
          <w:tcPr>
            <w:tcW w:w="581"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计算指标分母</w:t>
            </w:r>
          </w:p>
        </w:tc>
        <w:tc>
          <w:tcPr>
            <w:tcW w:w="66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金额</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（万元）</w:t>
            </w:r>
          </w:p>
        </w:tc>
        <w:tc>
          <w:tcPr>
            <w:tcW w:w="41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占比（%）</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是否需披露</w:t>
            </w:r>
          </w:p>
        </w:tc>
        <w:tc>
          <w:tcPr>
            <w:tcW w:w="435"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是否需股东大会审议</w:t>
            </w:r>
          </w:p>
        </w:tc>
      </w:tr>
      <w:tr>
        <w:tblPrEx>
          <w:tblCellMar>
            <w:top w:w="0" w:type="dxa"/>
            <w:left w:w="108" w:type="dxa"/>
            <w:bottom w:w="0" w:type="dxa"/>
            <w:right w:w="108" w:type="dxa"/>
          </w:tblCellMar>
        </w:tblPrEx>
        <w:trPr>
          <w:trHeight w:val="690" w:hRule="atLeast"/>
          <w:jc w:val="center"/>
        </w:trPr>
        <w:tc>
          <w:tcPr>
            <w:tcW w:w="51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该次交易</w:t>
            </w:r>
          </w:p>
        </w:tc>
        <w:tc>
          <w:tcPr>
            <w:tcW w:w="804" w:type="pct"/>
            <w:tcBorders>
              <w:top w:val="single" w:color="auto" w:sz="4" w:space="0"/>
              <w:left w:val="nil"/>
              <w:bottom w:val="nil"/>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与关联法人的关联交易</w:t>
            </w:r>
          </w:p>
        </w:tc>
        <w:tc>
          <w:tcPr>
            <w:tcW w:w="498" w:type="pct"/>
            <w:vMerge w:val="restart"/>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交易金额</w:t>
            </w:r>
          </w:p>
        </w:tc>
        <w:tc>
          <w:tcPr>
            <w:tcW w:w="66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581"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上市公司最近一期经审计净资产</w:t>
            </w:r>
          </w:p>
        </w:tc>
        <w:tc>
          <w:tcPr>
            <w:tcW w:w="66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804" w:type="pct"/>
            <w:tcBorders>
              <w:top w:val="single" w:color="auto" w:sz="4" w:space="0"/>
              <w:left w:val="nil"/>
              <w:bottom w:val="nil"/>
              <w:right w:val="single" w:color="auto" w:sz="4" w:space="0"/>
            </w:tcBorders>
            <w:vAlign w:val="center"/>
          </w:tcPr>
          <w:p>
            <w:pPr>
              <w:widowControl/>
              <w:ind w:right="-82" w:rightChars="-39"/>
              <w:rPr>
                <w:rFonts w:ascii="仿宋" w:hAnsi="仿宋" w:eastAsia="仿宋" w:cs="宋体"/>
                <w:b/>
                <w:bCs/>
                <w:kern w:val="0"/>
                <w:sz w:val="24"/>
                <w:szCs w:val="24"/>
              </w:rPr>
            </w:pPr>
            <w:r>
              <w:rPr>
                <w:rFonts w:hint="eastAsia" w:ascii="仿宋" w:hAnsi="仿宋" w:eastAsia="仿宋" w:cs="宋体"/>
                <w:b/>
                <w:bCs/>
                <w:kern w:val="0"/>
                <w:sz w:val="24"/>
                <w:szCs w:val="24"/>
              </w:rPr>
              <w:t>与关联自然人的关联交易</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7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804" w:type="pct"/>
            <w:tcBorders>
              <w:top w:val="single" w:color="auto" w:sz="4" w:space="0"/>
              <w:left w:val="nil"/>
              <w:bottom w:val="nil"/>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为关联人的关联担保</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p>
        </w:tc>
        <w:tc>
          <w:tcPr>
            <w:tcW w:w="43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p>
        </w:tc>
      </w:tr>
      <w:tr>
        <w:tblPrEx>
          <w:tblCellMar>
            <w:top w:w="0" w:type="dxa"/>
            <w:left w:w="108" w:type="dxa"/>
            <w:bottom w:w="0" w:type="dxa"/>
            <w:right w:w="108" w:type="dxa"/>
          </w:tblCellMar>
        </w:tblPrEx>
        <w:trPr>
          <w:trHeight w:val="930" w:hRule="atLeast"/>
          <w:jc w:val="center"/>
        </w:trPr>
        <w:tc>
          <w:tcPr>
            <w:tcW w:w="510" w:type="pct"/>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累积计算（十二个月内）</w:t>
            </w:r>
          </w:p>
        </w:tc>
        <w:tc>
          <w:tcPr>
            <w:tcW w:w="804"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与同一关联人发生的各类型关联交易</w:t>
            </w:r>
          </w:p>
        </w:tc>
        <w:tc>
          <w:tcPr>
            <w:tcW w:w="498" w:type="pct"/>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累积发生额</w:t>
            </w: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noWrap/>
            <w:vAlign w:val="center"/>
          </w:tcPr>
          <w:p>
            <w:pPr>
              <w:widowControl/>
              <w:rPr>
                <w:rFonts w:ascii="仿宋" w:hAnsi="仿宋" w:eastAsia="仿宋" w:cs="宋体"/>
                <w:kern w:val="0"/>
                <w:sz w:val="24"/>
                <w:szCs w:val="24"/>
              </w:rPr>
            </w:pPr>
          </w:p>
        </w:tc>
        <w:tc>
          <w:tcPr>
            <w:tcW w:w="427" w:type="pct"/>
            <w:tcBorders>
              <w:top w:val="nil"/>
              <w:left w:val="single" w:color="auto" w:sz="4" w:space="0"/>
              <w:bottom w:val="single" w:color="auto" w:sz="4" w:space="0"/>
              <w:right w:val="single" w:color="auto" w:sz="4"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79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804" w:type="pct"/>
            <w:tcBorders>
              <w:top w:val="nil"/>
              <w:left w:val="nil"/>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与不同关联人的同一标的相关的交易</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7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804" w:type="pct"/>
            <w:tcBorders>
              <w:top w:val="nil"/>
              <w:left w:val="nil"/>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委托理财</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72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804" w:type="pct"/>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提供财务资助</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615"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66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15"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27" w:type="pct"/>
            <w:tcBorders>
              <w:top w:val="nil"/>
              <w:left w:val="nil"/>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c>
          <w:tcPr>
            <w:tcW w:w="435" w:type="pct"/>
            <w:tcBorders>
              <w:top w:val="nil"/>
              <w:left w:val="nil"/>
              <w:bottom w:val="single" w:color="auto" w:sz="4" w:space="0"/>
              <w:right w:val="single" w:color="auto" w:sz="4" w:space="0"/>
            </w:tcBorders>
            <w:noWrap/>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　</w:t>
            </w:r>
          </w:p>
        </w:tc>
      </w:tr>
    </w:tbl>
    <w:p>
      <w:pPr>
        <w:widowControl/>
        <w:spacing w:line="360" w:lineRule="auto"/>
        <w:jc w:val="left"/>
        <w:rPr>
          <w:rFonts w:ascii="仿宋" w:hAnsi="仿宋" w:eastAsia="仿宋" w:cs="宋体"/>
          <w:b/>
          <w:bCs/>
          <w:kern w:val="0"/>
          <w:sz w:val="32"/>
          <w:szCs w:val="32"/>
        </w:rPr>
        <w:sectPr>
          <w:type w:val="continuous"/>
          <w:pgSz w:w="11906" w:h="16838"/>
          <w:pgMar w:top="1440" w:right="1800" w:bottom="1440" w:left="1800" w:header="851" w:footer="992" w:gutter="0"/>
          <w:cols w:space="720" w:num="1"/>
          <w:docGrid w:type="lines" w:linePitch="312" w:charSpace="0"/>
        </w:sectPr>
      </w:pPr>
    </w:p>
    <w:p>
      <w:pPr>
        <w:widowControl/>
        <w:spacing w:line="360" w:lineRule="auto"/>
        <w:jc w:val="left"/>
        <w:rPr>
          <w:rFonts w:ascii="仿宋" w:hAnsi="仿宋" w:eastAsia="仿宋" w:cs="宋体"/>
          <w:b/>
          <w:bCs/>
          <w:kern w:val="0"/>
          <w:sz w:val="32"/>
          <w:szCs w:val="32"/>
        </w:rPr>
        <w:sectPr>
          <w:type w:val="continuous"/>
          <w:pgSz w:w="11906" w:h="16838"/>
          <w:pgMar w:top="1440" w:right="1800" w:bottom="1440" w:left="1800" w:header="851" w:footer="992" w:gutter="0"/>
          <w:cols w:space="720" w:num="1"/>
          <w:docGrid w:type="lines" w:linePitch="312" w:charSpace="0"/>
        </w:sectPr>
      </w:pPr>
    </w:p>
    <w:p>
      <w:pPr>
        <w:spacing w:line="560" w:lineRule="exact"/>
        <w:ind w:firstLine="482"/>
        <w:rPr>
          <w:rFonts w:ascii="仿宋" w:hAnsi="仿宋" w:eastAsia="仿宋"/>
          <w:sz w:val="32"/>
          <w:szCs w:val="32"/>
        </w:rPr>
      </w:pPr>
    </w:p>
    <w:p>
      <w:pPr>
        <w:widowControl/>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adjustRightInd w:val="0"/>
        <w:snapToGrid w:val="0"/>
        <w:spacing w:line="560" w:lineRule="exact"/>
        <w:ind w:firstLine="643" w:firstLineChars="200"/>
        <w:rPr>
          <w:rFonts w:ascii="仿宋" w:hAnsi="仿宋" w:eastAsia="仿宋"/>
          <w:b/>
          <w:sz w:val="32"/>
          <w:szCs w:val="32"/>
        </w:rPr>
      </w:pPr>
    </w:p>
    <w:p>
      <w:pPr>
        <w:keepNext/>
        <w:keepLine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308" w:name="_Toc40795934"/>
      <w:bookmarkStart w:id="309" w:name="_Toc91781173"/>
      <w:bookmarkStart w:id="310" w:name="_Toc31015"/>
      <w:bookmarkStart w:id="311" w:name="_Toc91782454"/>
      <w:bookmarkStart w:id="312" w:name="_Toc138173242"/>
      <w:bookmarkStart w:id="313" w:name="_Toc91607656"/>
      <w:bookmarkStart w:id="314" w:name="_Toc40813205"/>
      <w:bookmarkStart w:id="315" w:name="_Toc60758275"/>
      <w:r>
        <w:rPr>
          <w:rFonts w:hint="eastAsia" w:ascii="方正小标宋简体" w:hAnsi="仿宋" w:eastAsia="方正小标宋简体"/>
          <w:kern w:val="44"/>
          <w:sz w:val="44"/>
          <w:szCs w:val="44"/>
        </w:rPr>
        <w:t>交易类第10号　上市公司日常关联交易</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预计</w:t>
      </w:r>
      <w:bookmarkEnd w:id="308"/>
      <w:r>
        <w:rPr>
          <w:rFonts w:hint="eastAsia" w:ascii="方正小标宋简体" w:hAnsi="仿宋" w:eastAsia="方正小标宋简体"/>
          <w:kern w:val="44"/>
          <w:sz w:val="44"/>
          <w:szCs w:val="44"/>
        </w:rPr>
        <w:t>公告格式</w:t>
      </w:r>
      <w:bookmarkEnd w:id="309"/>
      <w:bookmarkEnd w:id="310"/>
      <w:bookmarkEnd w:id="311"/>
      <w:bookmarkEnd w:id="312"/>
      <w:bookmarkEnd w:id="313"/>
      <w:bookmarkEnd w:id="314"/>
      <w:bookmarkEnd w:id="315"/>
    </w:p>
    <w:p>
      <w:pPr>
        <w:autoSpaceDE w:val="0"/>
        <w:autoSpaceDN w:val="0"/>
        <w:adjustRightInd w:val="0"/>
        <w:spacing w:line="560" w:lineRule="exact"/>
        <w:rPr>
          <w:rFonts w:ascii="仿宋" w:hAnsi="仿宋" w:eastAsia="仿宋"/>
          <w:sz w:val="32"/>
          <w:szCs w:val="32"/>
        </w:rPr>
      </w:pPr>
    </w:p>
    <w:p>
      <w:pPr>
        <w:tabs>
          <w:tab w:val="left" w:pos="426"/>
        </w:tabs>
        <w:autoSpaceDE w:val="0"/>
        <w:autoSpaceDN w:val="0"/>
        <w:adjustRightIn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XXXXXX股份有限公司日常关联交易预计公告</w:t>
      </w:r>
    </w:p>
    <w:p>
      <w:pPr>
        <w:spacing w:line="560" w:lineRule="exact"/>
        <w:ind w:firstLine="562"/>
        <w:rPr>
          <w:rFonts w:ascii="仿宋" w:hAnsi="仿宋" w:eastAsia="仿宋"/>
          <w:b/>
          <w:sz w:val="32"/>
          <w:szCs w:val="32"/>
        </w:rPr>
      </w:pPr>
      <w:r>
        <w:rPr>
          <w:rFonts w:hint="eastAsia"/>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92075</wp:posOffset>
                </wp:positionV>
                <wp:extent cx="5915025" cy="1628775"/>
                <wp:effectExtent l="0" t="0" r="28575" b="28575"/>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7.25pt;height:128.25pt;width:465.75pt;mso-position-horizontal:center;mso-position-horizontal-relative:margin;z-index:251689984;mso-width-relative:page;mso-height-relative:page;" fillcolor="#FFFFFF" filled="t" stroked="t" coordsize="21600,21600" o:gfxdata="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7Gg3TWAAAABwEAAA8AAAAAAAAAAQAgAAAAIgAAAGRycy9kb3ducmV2&#10;LnhtbFBLAQIUABQAAAAIAIdO4kB4CFu6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562"/>
        <w:rPr>
          <w:rFonts w:ascii="仿宋" w:hAnsi="仿宋" w:eastAsia="仿宋"/>
          <w:b/>
          <w:sz w:val="32"/>
          <w:szCs w:val="32"/>
        </w:rPr>
      </w:pPr>
    </w:p>
    <w:p>
      <w:pPr>
        <w:spacing w:line="560" w:lineRule="exact"/>
        <w:ind w:firstLine="562"/>
        <w:rPr>
          <w:rFonts w:ascii="仿宋" w:hAnsi="仿宋" w:eastAsia="仿宋"/>
          <w:b/>
          <w:sz w:val="32"/>
          <w:szCs w:val="32"/>
        </w:rPr>
      </w:pPr>
    </w:p>
    <w:p>
      <w:pPr>
        <w:spacing w:line="560" w:lineRule="exact"/>
        <w:ind w:firstLine="562"/>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一、日常关联交易基本情况</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（一）日常关联交易概述</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简要介绍日常关联交易事项、关联人名称、关联交易预计总金额及去年同类交易实际发生总金额，并说明履行的审议程序：</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1．董事会召开时间、届次及表决情况；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2．回避表决的董事姓名；</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3．若此项关联交易尚需获得股东大会的批准，应说明在股东大会上对相关议案回避表决的关联股东名称。</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（二）预计日常关联交易类别和金额</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如果本次日常关联交易涉及两个及两个以上的交易类别或两个及两个以上的关联人，应以表格形式披露本年度预计发生的日常关联交易的内容：</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195"/>
        <w:gridCol w:w="958"/>
        <w:gridCol w:w="1094"/>
        <w:gridCol w:w="1094"/>
        <w:gridCol w:w="109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927"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关联交易类别</w:t>
            </w:r>
          </w:p>
        </w:tc>
        <w:tc>
          <w:tcPr>
            <w:tcW w:w="701"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关联人</w:t>
            </w:r>
          </w:p>
        </w:tc>
        <w:tc>
          <w:tcPr>
            <w:tcW w:w="562" w:type="pct"/>
            <w:tcBorders>
              <w:top w:val="single" w:color="auto" w:sz="4" w:space="0"/>
              <w:left w:val="single" w:color="auto" w:sz="4" w:space="0"/>
              <w:bottom w:val="single" w:color="auto" w:sz="4" w:space="0"/>
              <w:right w:val="single" w:color="auto" w:sz="4" w:space="0"/>
            </w:tcBorders>
            <w:shd w:val="clear" w:color="auto" w:fill="E0E0E0"/>
          </w:tcPr>
          <w:p>
            <w:pPr>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关联交易内容</w:t>
            </w:r>
          </w:p>
          <w:p>
            <w:pPr>
              <w:rPr>
                <w:rFonts w:ascii="仿宋" w:hAnsi="仿宋" w:eastAsia="仿宋"/>
                <w:b/>
                <w:sz w:val="24"/>
                <w:szCs w:val="24"/>
              </w:rPr>
            </w:pPr>
          </w:p>
        </w:tc>
        <w:tc>
          <w:tcPr>
            <w:tcW w:w="642" w:type="pct"/>
            <w:tcBorders>
              <w:top w:val="single" w:color="auto" w:sz="4" w:space="0"/>
              <w:left w:val="single" w:color="auto" w:sz="4" w:space="0"/>
              <w:bottom w:val="single" w:color="auto" w:sz="4" w:space="0"/>
              <w:right w:val="single" w:color="auto" w:sz="4" w:space="0"/>
            </w:tcBorders>
            <w:shd w:val="clear" w:color="auto" w:fill="E0E0E0"/>
          </w:tcPr>
          <w:p>
            <w:pPr>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关联交易定价原则</w:t>
            </w:r>
          </w:p>
        </w:tc>
        <w:tc>
          <w:tcPr>
            <w:tcW w:w="642"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合同签订金额或预计金额</w:t>
            </w:r>
          </w:p>
        </w:tc>
        <w:tc>
          <w:tcPr>
            <w:tcW w:w="642"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截至披露日已发生金额</w:t>
            </w:r>
          </w:p>
        </w:tc>
        <w:tc>
          <w:tcPr>
            <w:tcW w:w="883"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sz w:val="24"/>
                <w:szCs w:val="24"/>
              </w:rPr>
              <w:t>上年发生金额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向关联人采购原材料</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向关联人采购燃料和动力</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向关联人销售产品、商品</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向关联人提供劳务</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接受关联人提供的劳务</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委托关联人销售产品、商品</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7"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接受关联人委托代为销售其产品、商品</w:t>
            </w: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甲</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乙</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0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小计</w:t>
            </w:r>
          </w:p>
        </w:tc>
        <w:tc>
          <w:tcPr>
            <w:tcW w:w="56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2"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83"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bl>
    <w:p>
      <w:pPr>
        <w:autoSpaceDE w:val="0"/>
        <w:autoSpaceDN w:val="0"/>
        <w:adjustRightInd w:val="0"/>
        <w:ind w:firstLine="480" w:firstLineChars="200"/>
        <w:rPr>
          <w:rFonts w:ascii="仿宋" w:hAnsi="仿宋" w:eastAsia="仿宋"/>
          <w:sz w:val="24"/>
          <w:szCs w:val="24"/>
        </w:rPr>
      </w:pPr>
      <w:r>
        <w:rPr>
          <w:rFonts w:hint="eastAsia" w:ascii="仿宋" w:hAnsi="仿宋" w:eastAsia="仿宋"/>
          <w:sz w:val="24"/>
          <w:szCs w:val="24"/>
        </w:rPr>
        <w:t>注：若关联人数量众多，上市公司认为难以披露全部关联人信息的，在充分说明原因的情况下可简化披露，其中预计与单一关联人发生交易金额在300万以上且达到上市公司上一年度经审计净资产0.5%的，应单独列示上述信息，其他关联人可以同一实际控制人为口径进行合并列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（三）上一年度日常关联交易实际发生情况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668"/>
        <w:gridCol w:w="1047"/>
        <w:gridCol w:w="857"/>
        <w:gridCol w:w="937"/>
        <w:gridCol w:w="1396"/>
        <w:gridCol w:w="134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600"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关联交易类别</w:t>
            </w:r>
          </w:p>
        </w:tc>
        <w:tc>
          <w:tcPr>
            <w:tcW w:w="392"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关联人</w:t>
            </w:r>
          </w:p>
        </w:tc>
        <w:tc>
          <w:tcPr>
            <w:tcW w:w="614"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关联交易内容</w:t>
            </w:r>
          </w:p>
        </w:tc>
        <w:tc>
          <w:tcPr>
            <w:tcW w:w="503"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实际发生金额</w:t>
            </w:r>
          </w:p>
        </w:tc>
        <w:tc>
          <w:tcPr>
            <w:tcW w:w="550"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预计金额</w:t>
            </w:r>
          </w:p>
        </w:tc>
        <w:tc>
          <w:tcPr>
            <w:tcW w:w="819" w:type="pct"/>
            <w:tcBorders>
              <w:top w:val="single" w:color="auto" w:sz="4" w:space="0"/>
              <w:left w:val="single" w:color="auto" w:sz="4" w:space="0"/>
              <w:bottom w:val="single" w:color="auto" w:sz="4" w:space="0"/>
              <w:right w:val="single" w:color="auto" w:sz="4" w:space="0"/>
            </w:tcBorders>
            <w:shd w:val="clear" w:color="auto" w:fill="E0E0E0"/>
          </w:tcPr>
          <w:p>
            <w:pPr>
              <w:widowControl/>
              <w:rPr>
                <w:rFonts w:ascii="仿宋" w:hAnsi="仿宋" w:eastAsia="仿宋"/>
                <w:b/>
                <w:kern w:val="0"/>
                <w:sz w:val="24"/>
                <w:szCs w:val="24"/>
              </w:rPr>
            </w:pPr>
            <w:r>
              <w:rPr>
                <w:rFonts w:hint="eastAsia" w:ascii="仿宋" w:hAnsi="仿宋" w:eastAsia="仿宋"/>
                <w:b/>
                <w:sz w:val="24"/>
                <w:szCs w:val="24"/>
              </w:rPr>
              <w:t>实际发生额占同类业务比例</w:t>
            </w:r>
            <w:r>
              <w:rPr>
                <w:rFonts w:hint="eastAsia" w:ascii="仿宋" w:hAnsi="仿宋" w:eastAsia="仿宋"/>
                <w:b/>
                <w:kern w:val="0"/>
                <w:sz w:val="24"/>
                <w:szCs w:val="24"/>
              </w:rPr>
              <w:t>（%）</w:t>
            </w:r>
          </w:p>
        </w:tc>
        <w:tc>
          <w:tcPr>
            <w:tcW w:w="790"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实际发生额与预计金额差异（%）</w:t>
            </w:r>
          </w:p>
        </w:tc>
        <w:tc>
          <w:tcPr>
            <w:tcW w:w="732" w:type="pct"/>
            <w:tcBorders>
              <w:top w:val="single" w:color="auto" w:sz="4" w:space="0"/>
              <w:left w:val="single" w:color="auto" w:sz="4" w:space="0"/>
              <w:bottom w:val="single" w:color="auto" w:sz="4" w:space="0"/>
              <w:right w:val="single" w:color="auto" w:sz="4" w:space="0"/>
            </w:tcBorders>
            <w:shd w:val="clear" w:color="auto" w:fill="E0E0E0"/>
            <w:vAlign w:val="center"/>
          </w:tcPr>
          <w:p>
            <w:pPr>
              <w:widowControl/>
              <w:rPr>
                <w:rFonts w:ascii="仿宋" w:hAnsi="仿宋" w:eastAsia="仿宋"/>
                <w:b/>
                <w:kern w:val="0"/>
                <w:sz w:val="24"/>
                <w:szCs w:val="24"/>
              </w:rPr>
            </w:pPr>
            <w:r>
              <w:rPr>
                <w:rFonts w:hint="eastAsia" w:ascii="仿宋" w:hAnsi="仿宋" w:eastAsia="仿宋"/>
                <w:b/>
                <w:kern w:val="0"/>
                <w:sz w:val="24"/>
                <w:szCs w:val="24"/>
              </w:rPr>
              <w:t>披露日期及索引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向关联人采购原材料</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向关联人采购燃料和动力</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向关联人销售产品、商品</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向关联人提供劳务</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接受关联人提供的劳务</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委托关联人销售产品、商品</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00" w:type="pct"/>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接受关联人委托代为销售其产品、商品</w:t>
            </w: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甲</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乙</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szCs w:val="24"/>
              </w:rPr>
            </w:pPr>
          </w:p>
        </w:tc>
        <w:tc>
          <w:tcPr>
            <w:tcW w:w="39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小计</w:t>
            </w:r>
          </w:p>
        </w:tc>
        <w:tc>
          <w:tcPr>
            <w:tcW w:w="614"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55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819" w:type="pct"/>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c>
          <w:tcPr>
            <w:tcW w:w="790"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732"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606"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公司董事会对日常关联交易实际发生情况与预计存在较大差异的说明（如适用）</w:t>
            </w:r>
          </w:p>
        </w:tc>
        <w:tc>
          <w:tcPr>
            <w:tcW w:w="3394" w:type="pct"/>
            <w:gridSpan w:val="5"/>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06" w:type="pct"/>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公司独立董事对日常关联交易实际发生情况与预计存在较大差异的说明（如适用）</w:t>
            </w:r>
          </w:p>
        </w:tc>
        <w:tc>
          <w:tcPr>
            <w:tcW w:w="3394" w:type="pct"/>
            <w:gridSpan w:val="5"/>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 w:val="24"/>
                <w:szCs w:val="24"/>
              </w:rPr>
            </w:pPr>
          </w:p>
        </w:tc>
      </w:tr>
    </w:tbl>
    <w:p>
      <w:pPr>
        <w:autoSpaceDE w:val="0"/>
        <w:autoSpaceDN w:val="0"/>
        <w:adjustRightInd w:val="0"/>
        <w:ind w:firstLine="480" w:firstLineChars="200"/>
        <w:rPr>
          <w:rFonts w:ascii="仿宋" w:hAnsi="仿宋" w:eastAsia="仿宋"/>
          <w:sz w:val="24"/>
          <w:szCs w:val="24"/>
        </w:rPr>
      </w:pPr>
      <w:r>
        <w:rPr>
          <w:rFonts w:hint="eastAsia" w:ascii="仿宋" w:hAnsi="仿宋" w:eastAsia="仿宋"/>
          <w:sz w:val="24"/>
          <w:szCs w:val="24"/>
        </w:rPr>
        <w:t>注：1．若关联人数量众多，上市公司认为难以披露全部关联人信息的，在充分说明原因的情况下可简化披露，其中预计与单一关联人发生交易金额在300万以上且达到上市公司上一年度经审计净资产0.5%的，应单独列示上述信息，其他关联人可以同一实际控制人为口径进行合并列示。</w:t>
      </w:r>
    </w:p>
    <w:p>
      <w:pPr>
        <w:autoSpaceDE w:val="0"/>
        <w:autoSpaceDN w:val="0"/>
        <w:adjustRightInd w:val="0"/>
        <w:ind w:firstLine="480" w:firstLineChars="200"/>
        <w:rPr>
          <w:rFonts w:ascii="仿宋" w:hAnsi="仿宋" w:eastAsia="仿宋"/>
          <w:sz w:val="24"/>
          <w:szCs w:val="24"/>
        </w:rPr>
      </w:pPr>
      <w:r>
        <w:rPr>
          <w:rFonts w:hint="eastAsia" w:ascii="仿宋" w:hAnsi="仿宋" w:eastAsia="仿宋"/>
          <w:sz w:val="24"/>
          <w:szCs w:val="24"/>
        </w:rPr>
        <w:t>2．上市公司与同一控制下的各个关联人实际发生关联交易总金额超出预计总金额，或与未预计关联人发生关联交易的，应按照《股票上市规则》相关规定及时履行相应审批程序及披露义务。若实际发生总金额未超过预计总金额，但不足预计总金额80%的，或日常关联交易总额虽未超出预计金额，但实际发生关联交易的关联人与预计的关联人存在较大差异时，上市公司应当充分解释差异原因。</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二、关联人介绍和关联关系</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对上述第一部分涉及的各关联人情况分别进行说明，内容至少应包括：</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1．基本情况。法定代表人、注册资本、主营业务、住所、最近一期财务数据（总资产、净资产、主营业务收入、净利润）等。</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2．与上市公司的关联关系。说明构成关联关系的具体情形。</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3．履约能力分析。结合该关联人主要财务指标和经营情况，按照关联交易类型对关联方的履约能力进行针对性的分析，如向关联人出售商品的，应对关联人的支付能力进行合理判断等。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三、关联交易主要内容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关联交易主要内容。包括关联交易的定价原则和依据、交易价格、交易总量或其确定方法、付款安排和结算方式等。协议未确定具体交易价格而仅说明采用参考市场价格或成本加成等方式确定的，上市公司应当披露实际交易价格，并提供明确的对比价格信息，说明两种价格存在差异的原因：参考市场价格的，应披露市场价格及其确定方法；采用成本加成的，应披露主要成本构成、加成比例及其合理性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2．关联交易协议签署情况。如已签署了关联交易协议，说明协议签署日期、生效条件和日期、协议有效期及其他主要条款。</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四、关联交易目的和对上市公司的影响</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上市公司董事会应切实从维护上市公司及投资者权益的角度出发，详细分析关联交易目的和对上市公司的影响：</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1．分析关联交易的必要性，并说明选择与关联人（而非市场其他交易方）进行交易的原因。</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2．从关联交易定价的公允性、付款（收款）条件的合理性等方面分析关联交易有无损害上市公司利益及中小股东合法权益。</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3．关联交易的持续性，对上市公司独立性的影响，公司主要业务是否因此类交易而对关联人形成依赖（或者被其控制）及依赖程度，相关解决措施等。</w:t>
      </w:r>
    </w:p>
    <w:p>
      <w:pPr>
        <w:autoSpaceDE w:val="0"/>
        <w:autoSpaceDN w:val="0"/>
        <w:adjustRightInd w:val="0"/>
        <w:spacing w:line="560" w:lineRule="exact"/>
        <w:ind w:firstLine="643" w:firstLineChars="200"/>
        <w:rPr>
          <w:rFonts w:ascii="仿宋" w:hAnsi="仿宋" w:eastAsia="仿宋"/>
          <w:sz w:val="32"/>
          <w:szCs w:val="32"/>
        </w:rPr>
      </w:pPr>
      <w:r>
        <w:rPr>
          <w:rFonts w:hint="eastAsia" w:ascii="仿宋" w:hAnsi="仿宋" w:eastAsia="仿宋"/>
          <w:b/>
          <w:sz w:val="32"/>
          <w:szCs w:val="32"/>
        </w:rPr>
        <w:t>五、独立董事过半数同意意见及中介机构意见</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1．全体独立董事过半数同意以及独立董事专门会议审议的情况。</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2．中介机构对日常关联交易发表的结论性意见（如适用）。</w:t>
      </w:r>
    </w:p>
    <w:p>
      <w:pPr>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六、备查文件</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2．全体独立董事过半数同意的证明文件（如适用）；</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3．保荐人意见（如适用）；</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4．日常关联交易的协议书或意向书（如适用）；</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5．深交所要求的其他文件。</w:t>
      </w:r>
    </w:p>
    <w:p>
      <w:pPr>
        <w:autoSpaceDE w:val="0"/>
        <w:autoSpaceDN w:val="0"/>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316" w:name="_Toc40795952"/>
      <w:bookmarkStart w:id="317" w:name="_Toc91782455"/>
      <w:bookmarkStart w:id="318" w:name="_Toc91781174"/>
      <w:bookmarkStart w:id="319" w:name="_Toc138173243"/>
      <w:bookmarkStart w:id="320" w:name="_Toc15738"/>
      <w:bookmarkStart w:id="321" w:name="_Toc91607657"/>
      <w:bookmarkStart w:id="322" w:name="_Toc40813223"/>
      <w:bookmarkStart w:id="323" w:name="_Toc60758293"/>
      <w:r>
        <w:rPr>
          <w:rFonts w:hint="eastAsia" w:ascii="方正小标宋简体" w:hAnsi="仿宋" w:eastAsia="方正小标宋简体"/>
          <w:kern w:val="44"/>
          <w:sz w:val="44"/>
          <w:szCs w:val="44"/>
        </w:rPr>
        <w:t>交易类第11号　上市公司与专业投资机构</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共同</w:t>
      </w:r>
      <w:bookmarkEnd w:id="316"/>
      <w:r>
        <w:rPr>
          <w:rFonts w:hint="eastAsia" w:ascii="方正小标宋简体" w:hAnsi="仿宋" w:eastAsia="方正小标宋简体"/>
          <w:kern w:val="44"/>
          <w:sz w:val="44"/>
          <w:szCs w:val="44"/>
        </w:rPr>
        <w:t>投资及合作公告格式</w:t>
      </w:r>
      <w:bookmarkEnd w:id="317"/>
      <w:bookmarkEnd w:id="318"/>
      <w:bookmarkEnd w:id="319"/>
      <w:bookmarkEnd w:id="320"/>
      <w:bookmarkEnd w:id="321"/>
      <w:bookmarkEnd w:id="322"/>
      <w:bookmarkEnd w:id="323"/>
    </w:p>
    <w:p>
      <w:pPr>
        <w:spacing w:line="560" w:lineRule="exact"/>
        <w:rPr>
          <w:rFonts w:ascii="仿宋" w:hAnsi="仿宋" w:eastAsia="仿宋" w:cs="宋体"/>
          <w:kern w:val="0"/>
          <w:sz w:val="32"/>
          <w:szCs w:val="32"/>
        </w:rPr>
      </w:pPr>
      <w:r>
        <w:rPr>
          <w:rFonts w:hint="eastAsia" w:ascii="仿宋" w:hAnsi="仿宋" w:eastAsia="仿宋" w:cs="宋体"/>
          <w:kern w:val="0"/>
          <w:sz w:val="32"/>
          <w:szCs w:val="32"/>
        </w:rPr>
        <w:t xml:space="preserve">                                                                                         </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属于本所《上市公司自律监管指引第7号——交易与关联交易》规定的与专业投资机构共同投资及合作相关事项，适用本公告格式。</w:t>
      </w:r>
    </w:p>
    <w:p>
      <w:pPr>
        <w:spacing w:line="560" w:lineRule="exact"/>
        <w:ind w:firstLine="640" w:firstLineChars="200"/>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XXXXXX股份有限公司与专业投资机构共同投资及合作</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/购买专业投资机构相关交易标的公告</w:t>
      </w:r>
    </w:p>
    <w:p>
      <w:pPr>
        <w:widowControl/>
        <w:spacing w:line="360" w:lineRule="exact"/>
        <w:rPr>
          <w:rFonts w:ascii="仿宋" w:hAnsi="仿宋" w:eastAsia="仿宋" w:cs="宋体"/>
          <w:b/>
          <w:bCs/>
          <w:kern w:val="0"/>
          <w:sz w:val="32"/>
          <w:szCs w:val="32"/>
        </w:rPr>
      </w:pPr>
      <w:r>
        <w:rPr>
          <w:rFonts w:hint="eastAsia"/>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111125</wp:posOffset>
                </wp:positionV>
                <wp:extent cx="5915025" cy="1628775"/>
                <wp:effectExtent l="0" t="0" r="28575" b="2857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75pt;height:128.25pt;width:465.75pt;mso-position-horizontal:center;mso-position-horizontal-relative:margin;z-index:251691008;mso-width-relative:page;mso-height-relative:page;" fillcolor="#FFFFFF" filled="t" stroked="t" coordsize="21600,21600" o:gfxdata="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YW4RLWAAAABwEAAA8AAAAAAAAAAQAgAAAAIgAAAGRycy9kb3ducmV2&#10;LnhtbFBLAQIUABQAAAAIAIdO4kCJpWdJ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360" w:lineRule="exact"/>
        <w:ind w:firstLine="822" w:firstLineChars="257"/>
        <w:rPr>
          <w:rFonts w:ascii="仿宋" w:hAnsi="仿宋" w:eastAsia="仿宋" w:cs="宋体"/>
          <w:kern w:val="0"/>
          <w:sz w:val="32"/>
          <w:szCs w:val="32"/>
        </w:rPr>
      </w:pPr>
    </w:p>
    <w:p>
      <w:pPr>
        <w:widowControl/>
        <w:spacing w:line="560" w:lineRule="exact"/>
        <w:ind w:firstLine="803" w:firstLineChars="25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一、与专业投资机构共同投资及合作披露</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（一）上市公司与专业投资机构共同投资公告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上市公司与专业投资机构共同投资，应当及时披露以下内容：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专业投资机构基本情况，包括机构名称、成立时间、注册地、法定代表人、控股股东、实际控制人、主要投资领域等。如合作方为合伙企业，应披露普通合伙人及有限合伙人信息。如合作方为私募基金等需要履行登记备案程序的机构，应披露是否依照相关法律、法规、规章、规范性文件、行业规定等履行登记备案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关联关系或其他利益关系说明，包括专业投资机构是否与上市公司存在关联关系或利益安排、是否与上市公司控股股东、实际控制人、持股5%以上的股东、董事、监事、高级管理人员存在关联关系或利益安排、是否与其他参与设立投资基金的投资人存在一致行动关系、是否以直接或间接形式持有上市公司股份等（如有，应当披露股份数量、持股比例、持股目的、未来12个月内是否有增持或减持计划）。</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投资基金的具体情况及投资协议主要条款，包括基金名称、基金规模、组织形式、出资方式、出资进度、存续期限、退出机制、上市公司对基金的会计处理方法、投资方向等，如已形成投资计划，应一并披露；投资基金的管理模式，包括管理和决策机制、各投资人的合作地位及权利义务、收益分配机制，上市公司对基金拟投资标的是否有一票否决权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4．上市公司控股股东、实际控制人、持股5%以上的股东、董事、监事、高级管理人员是否参与投资基金份额认购、是否在投资基金中任职，如有，应当说明认购份额、认购比例、任职情况、主要权利义务安排等。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5．对上市公司的影响和存在的风险，包括投资领域与上市公司主营业务是否存在协同关系、投资失败或亏损的风险、内部管理风险、对外担保风险（如有）等。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6．合作事项是否可能导致同业竞争或关联交易。如是，应当说明是否已作出相应安排（如投资基金在收购与上市公司主营业务相同或相近的资产之后，上市公司具有优先购买权等）。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其他事项。明确说明在本次与专业投资机构共同投资前十二个月内不存在将超募资金用于永久性补充流动资金的情形（上市公司与专业投资机构共同投资与主营业务相关的投资基金，或者市场化运作的贫困地区产业投资基金和扶贫公益基金等投资基金的除外）。</w:t>
      </w:r>
    </w:p>
    <w:p>
      <w:pPr>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（二）上市公司与专业投资机构签订合作协议公告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上市公司与专业投资机构签订合作协议的，除应当依据本公告格式第一条第（一）项的规定披露专业投资机构基本情况、关联关系或其他利益关系说明外，还应当披露以下内容：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1．合作协议的主要条款，包括签订时间、合作目的、合作模式、合作期限、合作事项的决策机制和运行机制等。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2．专业投资机构提供的服务内容，包括业务咨询或财务顾问、市值管理服务的具体领域、一揽子计划安排、费用或报酬以及其他特别约定事项等。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上市公司应完整披露与专业投资机构签订的各项协议，承诺不存在其他未披露的协议。</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3．对合作协议可能存在的风险进行充分揭示。</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二、购买专业投资机构相关交易标的公告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上市公司参与投资或与专业投资机构共同投资及合作事项，又购买其直接、间接持有或推荐的交易标的，除按照法律法规及本所《股票上市规则》等相关规定进行信息披露外，还应当披露以下内容：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1．专业投资机构及其控制的其他主体、管理的全部基金/信托/资产管理计划产品在交易标的中持有的股份或投资份额情况，包括持股/出资份额数量和比例、受让交易标的股份/份额的价格和时间、锁定期安排等；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2．专业投资机构及其控制的其他主体、管理的所有产品在最近6个月内买卖上市公司股票的情况，包括持有上市公司股份的数量和比例、买卖上市公司股份的数量和时间、锁定期安排等；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3．上市公司、专业投资机构与交易标的之间存在的关联关系或其他利益关系等情况。</w:t>
      </w:r>
    </w:p>
    <w:p>
      <w:pPr>
        <w:widowControl/>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三、其他</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1．与专业投资机构共同投资及合作公告首次披露后，上市公司应及时按照本所《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》等规定披露相关进展情况。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专业投资机构持有或通过协议、其他安排或与他人共同持有上市公司股份达到或超过5%的，相关信息披露义务人应当依据《证券法》《上市公司收购管理办法》及本所《股票上市规则》等规定履行信息披露义务。上市公司在公告时应同时说明与该机构是否存在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》规定的合作事项。</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3．专业投资机构参与上市公司重大资产重组、再融资等业务的，无论参与金额、比例大小，上市公司均应在方案中说明与该机构是否存在本所《</w:t>
      </w:r>
      <w:r>
        <w:rPr>
          <w:rFonts w:hint="eastAsia" w:ascii="仿宋" w:hAnsi="仿宋" w:eastAsia="仿宋"/>
          <w:sz w:val="32"/>
          <w:szCs w:val="32"/>
        </w:rPr>
        <w:t>上市公司自律监管指引第7号——交易与关联交易</w:t>
      </w:r>
      <w:r>
        <w:rPr>
          <w:rFonts w:hint="eastAsia" w:ascii="仿宋" w:hAnsi="仿宋" w:eastAsia="仿宋" w:cs="宋体"/>
          <w:kern w:val="0"/>
          <w:sz w:val="32"/>
          <w:szCs w:val="32"/>
        </w:rPr>
        <w:t>》规定的合作事项。</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1．董事会决议（如有）；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2．合作协议（如有）；</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3．深交所要求的其他文件。</w:t>
      </w:r>
    </w:p>
    <w:p>
      <w:pPr>
        <w:spacing w:line="560" w:lineRule="exact"/>
        <w:ind w:firstLine="640" w:firstLineChars="200"/>
        <w:rPr>
          <w:rFonts w:ascii="仿宋" w:hAnsi="仿宋" w:eastAsia="仿宋" w:cs="宋体"/>
          <w:kern w:val="0"/>
          <w:sz w:val="32"/>
          <w:szCs w:val="32"/>
        </w:rPr>
      </w:pPr>
    </w:p>
    <w:p>
      <w:pPr>
        <w:spacing w:line="560" w:lineRule="exact"/>
        <w:ind w:firstLine="640" w:firstLineChars="200"/>
        <w:rPr>
          <w:rFonts w:ascii="仿宋" w:hAnsi="仿宋" w:eastAsia="仿宋" w:cs="宋体"/>
          <w:kern w:val="0"/>
          <w:sz w:val="32"/>
          <w:szCs w:val="32"/>
        </w:rPr>
      </w:pPr>
    </w:p>
    <w:p>
      <w:pPr>
        <w:spacing w:line="560" w:lineRule="exact"/>
        <w:ind w:firstLine="20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324" w:name="_Toc40795935"/>
      <w:bookmarkStart w:id="325" w:name="_Toc91607658"/>
      <w:bookmarkStart w:id="326" w:name="_Toc91782456"/>
      <w:bookmarkStart w:id="327" w:name="_Toc82556697"/>
      <w:bookmarkStart w:id="328" w:name="_Toc40813206"/>
      <w:bookmarkStart w:id="329" w:name="_Toc138173244"/>
      <w:bookmarkStart w:id="330" w:name="_Toc21144"/>
      <w:bookmarkStart w:id="331" w:name="_Toc91781175"/>
      <w:r>
        <w:rPr>
          <w:rFonts w:hint="eastAsia" w:ascii="方正小标宋简体" w:hAnsi="仿宋" w:eastAsia="方正小标宋简体"/>
          <w:kern w:val="44"/>
          <w:sz w:val="44"/>
          <w:szCs w:val="44"/>
        </w:rPr>
        <w:t>交易类第12号　上市公司董事会</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关于重大资产重</w:t>
      </w:r>
      <w:bookmarkEnd w:id="324"/>
      <w:r>
        <w:rPr>
          <w:rFonts w:hint="eastAsia" w:ascii="方正小标宋简体" w:hAnsi="仿宋" w:eastAsia="方正小标宋简体"/>
          <w:kern w:val="44"/>
          <w:sz w:val="44"/>
          <w:szCs w:val="44"/>
        </w:rPr>
        <w:t>组实施情况报告书格式</w:t>
      </w:r>
      <w:bookmarkEnd w:id="325"/>
      <w:bookmarkEnd w:id="326"/>
      <w:bookmarkEnd w:id="327"/>
      <w:bookmarkEnd w:id="328"/>
      <w:bookmarkEnd w:id="329"/>
      <w:bookmarkEnd w:id="330"/>
      <w:bookmarkEnd w:id="331"/>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XXX股份有限公司董事会关于重大资产重组实施情况报告书</w:t>
      </w:r>
    </w:p>
    <w:p>
      <w:pPr>
        <w:spacing w:line="560" w:lineRule="exact"/>
        <w:ind w:firstLine="482"/>
        <w:rPr>
          <w:rFonts w:ascii="仿宋" w:hAnsi="仿宋" w:eastAsia="仿宋" w:cs="宋体"/>
          <w:kern w:val="0"/>
          <w:sz w:val="32"/>
          <w:szCs w:val="32"/>
        </w:rPr>
      </w:pPr>
      <w:r>
        <w:rPr>
          <w:rFonts w:hint="eastAsia"/>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120650</wp:posOffset>
                </wp:positionV>
                <wp:extent cx="5915025" cy="1628775"/>
                <wp:effectExtent l="0" t="0" r="28575" b="2857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5pt;height:128.25pt;width:465.75pt;mso-position-horizontal:center;mso-position-horizontal-relative:margin;z-index:251692032;mso-width-relative:page;mso-height-relative:page;" fillcolor="#FFFFFF" filled="t" stroked="t" coordsize="21600,21600" o:gfxdata="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bHovWAAAABwEAAA8AAAAAAAAAAQAgAAAAIgAAAGRycy9kb3ducmV2&#10;LnhtbFBLAQIUABQAAAAIAIdO4kD0g9gU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482"/>
        <w:rPr>
          <w:rFonts w:ascii="仿宋" w:hAnsi="仿宋" w:eastAsia="仿宋" w:cs="宋体"/>
          <w:kern w:val="0"/>
          <w:sz w:val="32"/>
          <w:szCs w:val="32"/>
        </w:rPr>
      </w:pPr>
    </w:p>
    <w:p>
      <w:pPr>
        <w:spacing w:line="560" w:lineRule="exact"/>
        <w:ind w:firstLine="482"/>
        <w:rPr>
          <w:rFonts w:ascii="仿宋" w:hAnsi="仿宋" w:eastAsia="仿宋" w:cs="宋体"/>
          <w:kern w:val="0"/>
          <w:sz w:val="32"/>
          <w:szCs w:val="32"/>
        </w:rPr>
      </w:pPr>
    </w:p>
    <w:p>
      <w:pPr>
        <w:spacing w:line="560" w:lineRule="exact"/>
        <w:ind w:firstLine="482"/>
        <w:rPr>
          <w:rFonts w:ascii="仿宋" w:hAnsi="仿宋" w:eastAsia="仿宋" w:cs="宋体"/>
          <w:kern w:val="0"/>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一、说明本次重组的实施过程，相关资产过户或者交付、相关债权债务处理以及证券发行登记等事宜的办理状况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（一）本次重大资产重组方案简介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（二）说明本次重大资产重组的实施过程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（三）说明本次重大资产重组实施结果</w:t>
      </w:r>
    </w:p>
    <w:p>
      <w:pPr>
        <w:tabs>
          <w:tab w:val="left" w:pos="5238"/>
        </w:tabs>
        <w:autoSpaceDE w:val="0"/>
        <w:autoSpaceDN w:val="0"/>
        <w:spacing w:line="560" w:lineRule="exact"/>
        <w:ind w:firstLine="640" w:firstLineChars="200"/>
        <w:rPr>
          <w:rFonts w:ascii="仿宋" w:hAnsi="仿宋" w:eastAsia="仿宋"/>
          <w:sz w:val="32"/>
          <w:szCs w:val="32"/>
        </w:rPr>
      </w:pPr>
      <w:r>
        <w:rPr>
          <w:rFonts w:hint="eastAsia" w:ascii="仿宋" w:hAnsi="仿宋" w:eastAsia="仿宋"/>
          <w:sz w:val="32"/>
          <w:szCs w:val="32"/>
        </w:rPr>
        <w:t>1．说明相关资产过户或交付情况和相关后续安排。如果有相关资产过户或交付的手续未办理完毕，说明该等安排是否存在实质性法律障碍。</w:t>
      </w:r>
    </w:p>
    <w:p>
      <w:pPr>
        <w:tabs>
          <w:tab w:val="left" w:pos="5238"/>
        </w:tabs>
        <w:autoSpaceDE w:val="0"/>
        <w:autoSpaceDN w:val="0"/>
        <w:spacing w:line="560" w:lineRule="exact"/>
        <w:ind w:firstLine="640" w:firstLineChars="200"/>
        <w:rPr>
          <w:rFonts w:ascii="仿宋" w:hAnsi="仿宋" w:eastAsia="仿宋"/>
          <w:sz w:val="32"/>
          <w:szCs w:val="32"/>
        </w:rPr>
      </w:pPr>
      <w:r>
        <w:rPr>
          <w:rFonts w:hint="eastAsia" w:ascii="仿宋" w:hAnsi="仿宋" w:eastAsia="仿宋"/>
          <w:sz w:val="32"/>
          <w:szCs w:val="32"/>
        </w:rPr>
        <w:t>2．说明相关债权债务处理情况。分类别说明相关债权、有息债务、担保等或有债务、生产经营性债务等的处理情况。</w:t>
      </w:r>
    </w:p>
    <w:p>
      <w:pPr>
        <w:tabs>
          <w:tab w:val="left" w:pos="5238"/>
        </w:tabs>
        <w:autoSpaceDE w:val="0"/>
        <w:autoSpaceDN w:val="0"/>
        <w:spacing w:line="560" w:lineRule="exact"/>
        <w:ind w:firstLine="640" w:firstLineChars="200"/>
        <w:rPr>
          <w:rFonts w:ascii="仿宋" w:hAnsi="仿宋" w:eastAsia="仿宋"/>
          <w:sz w:val="32"/>
          <w:szCs w:val="32"/>
        </w:rPr>
      </w:pPr>
      <w:r>
        <w:rPr>
          <w:rFonts w:hint="eastAsia" w:ascii="仿宋" w:hAnsi="仿宋" w:eastAsia="仿宋"/>
          <w:sz w:val="32"/>
          <w:szCs w:val="32"/>
        </w:rPr>
        <w:t>3．说明证券发行登记等事宜的办理状况（如适用）。</w:t>
      </w:r>
    </w:p>
    <w:p>
      <w:pPr>
        <w:tabs>
          <w:tab w:val="left" w:pos="5238"/>
        </w:tabs>
        <w:autoSpaceDE w:val="0"/>
        <w:autoSpaceDN w:val="0"/>
        <w:spacing w:line="560" w:lineRule="exact"/>
        <w:ind w:firstLine="640" w:firstLineChars="200"/>
        <w:rPr>
          <w:rFonts w:ascii="仿宋" w:hAnsi="仿宋" w:eastAsia="仿宋"/>
          <w:sz w:val="32"/>
          <w:szCs w:val="32"/>
        </w:rPr>
      </w:pPr>
      <w:r>
        <w:rPr>
          <w:rFonts w:hint="eastAsia" w:ascii="仿宋" w:hAnsi="仿宋" w:eastAsia="仿宋"/>
          <w:sz w:val="32"/>
          <w:szCs w:val="32"/>
        </w:rPr>
        <w:t>说明公司完成增发股份、定向可转债的登记情况，包括增发股数，增发前后公司总股本等，并提示投资者关注公司发布的证券发行暨上市公告。</w:t>
      </w:r>
    </w:p>
    <w:p>
      <w:pPr>
        <w:tabs>
          <w:tab w:val="left" w:pos="5238"/>
        </w:tabs>
        <w:autoSpaceDE w:val="0"/>
        <w:autoSpaceDN w:val="0"/>
        <w:spacing w:line="560" w:lineRule="exact"/>
        <w:ind w:firstLine="640" w:firstLineChars="200"/>
        <w:rPr>
          <w:rFonts w:ascii="仿宋" w:hAnsi="仿宋" w:eastAsia="仿宋"/>
          <w:sz w:val="32"/>
          <w:szCs w:val="32"/>
        </w:rPr>
      </w:pPr>
      <w:r>
        <w:rPr>
          <w:rFonts w:hint="eastAsia" w:ascii="仿宋" w:hAnsi="仿宋" w:eastAsia="仿宋"/>
          <w:sz w:val="32"/>
          <w:szCs w:val="32"/>
        </w:rPr>
        <w:t>4．说明关于期间损益的认定及其实施结果。</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二、说明相关实际情况与此前披露的信息是否存在差异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1.说明相关资产的权属情况及历史财务数据是否如实披露。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2.说明相关盈利预测或者管理层预计达到的目标是否实现。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3.说明控股股东及其一致行动人、董事、监事、高级管理人员等特定主体自本次重组复牌之日或本次重组方案首次披露之日起至实施完毕期间的股份减持情况是否与计划一致。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4.说明其他情况与此前披露的信息是否存在差异。</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三、说明人员更换或者调整情况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1.说明上市公司在重组期间董事、监事、高级管理人员的更换情况及其他相关人员的调整情况。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2.主要标的资产是公司股权的，说明在重组期间，标的公司董事、监事、高级管理人员的更换情况及其他相关人员的调整情况（如适用）。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四、说明是否存在资金占用和违规担保情形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1.说明重组实施过程中以及实施后，是否发生上市公司资金、资产被实际控制人或其他关联人占用的情形。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2.说明重组实施过程中以及实施后，上市公司是否发生为实际控制人及其关联人提供担保的情形。</w:t>
      </w:r>
    </w:p>
    <w:p>
      <w:pPr>
        <w:spacing w:line="560" w:lineRule="exact"/>
        <w:ind w:firstLine="643" w:firstLineChars="200"/>
        <w:rPr>
          <w:rFonts w:ascii="仿宋" w:hAnsi="仿宋" w:eastAsia="仿宋"/>
          <w:b/>
          <w:sz w:val="32"/>
          <w:szCs w:val="32"/>
        </w:rPr>
      </w:pPr>
      <w:bookmarkStart w:id="332" w:name="_Toc287512902"/>
      <w:bookmarkStart w:id="333" w:name="_Toc281984783"/>
      <w:bookmarkStart w:id="334" w:name="_Toc277684228"/>
      <w:bookmarkStart w:id="335" w:name="_Toc286304924"/>
      <w:bookmarkStart w:id="336" w:name="_Toc281986254"/>
      <w:r>
        <w:rPr>
          <w:rFonts w:hint="eastAsia" w:ascii="仿宋" w:hAnsi="仿宋" w:eastAsia="仿宋"/>
          <w:b/>
          <w:sz w:val="32"/>
          <w:szCs w:val="32"/>
        </w:rPr>
        <w:t>五、说明相关协议的履行情况</w:t>
      </w:r>
      <w:bookmarkEnd w:id="332"/>
      <w:bookmarkEnd w:id="333"/>
      <w:bookmarkEnd w:id="334"/>
      <w:bookmarkEnd w:id="335"/>
      <w:bookmarkEnd w:id="336"/>
    </w:p>
    <w:p>
      <w:pPr>
        <w:spacing w:line="560" w:lineRule="exact"/>
        <w:ind w:firstLine="643" w:firstLineChars="200"/>
        <w:rPr>
          <w:rFonts w:ascii="仿宋" w:hAnsi="仿宋" w:eastAsia="仿宋"/>
          <w:b/>
          <w:sz w:val="32"/>
          <w:szCs w:val="32"/>
        </w:rPr>
      </w:pPr>
      <w:bookmarkStart w:id="337" w:name="_Toc286304925"/>
      <w:bookmarkStart w:id="338" w:name="_Toc281986255"/>
      <w:bookmarkStart w:id="339" w:name="_Toc277684229"/>
      <w:bookmarkStart w:id="340" w:name="_Toc281984784"/>
      <w:bookmarkStart w:id="341" w:name="_Toc287512903"/>
      <w:r>
        <w:rPr>
          <w:rFonts w:hint="eastAsia" w:ascii="仿宋" w:hAnsi="仿宋" w:eastAsia="仿宋"/>
          <w:b/>
          <w:sz w:val="32"/>
          <w:szCs w:val="32"/>
        </w:rPr>
        <w:t>六、说明相关承诺的履行情况</w:t>
      </w:r>
      <w:bookmarkEnd w:id="337"/>
      <w:bookmarkEnd w:id="338"/>
      <w:bookmarkEnd w:id="339"/>
      <w:bookmarkEnd w:id="340"/>
      <w:bookmarkEnd w:id="341"/>
    </w:p>
    <w:p>
      <w:pPr>
        <w:spacing w:line="560" w:lineRule="exact"/>
        <w:ind w:firstLine="640" w:firstLineChars="200"/>
        <w:rPr>
          <w:rFonts w:ascii="仿宋" w:hAnsi="仿宋" w:eastAsia="仿宋"/>
          <w:sz w:val="32"/>
          <w:szCs w:val="32"/>
        </w:rPr>
      </w:pPr>
      <w:bookmarkStart w:id="342" w:name="_Toc287512904"/>
      <w:bookmarkStart w:id="343" w:name="_Toc343518167"/>
      <w:bookmarkStart w:id="344" w:name="_Toc301880244"/>
      <w:bookmarkStart w:id="345" w:name="_Toc301880116"/>
      <w:bookmarkStart w:id="346" w:name="_Toc309632218"/>
      <w:bookmarkStart w:id="347" w:name="_Toc281984785"/>
      <w:bookmarkStart w:id="348" w:name="_Toc332289807"/>
      <w:bookmarkStart w:id="349" w:name="_Toc302466752"/>
      <w:bookmarkStart w:id="350" w:name="_Toc277684230"/>
      <w:bookmarkStart w:id="351" w:name="_Toc319944314"/>
      <w:bookmarkStart w:id="352" w:name="_Toc330366748"/>
      <w:bookmarkStart w:id="353" w:name="_Toc296355260"/>
      <w:bookmarkStart w:id="354" w:name="_Toc332894804"/>
      <w:bookmarkStart w:id="355" w:name="_Toc307841961"/>
      <w:bookmarkStart w:id="356" w:name="_Toc326139981"/>
      <w:bookmarkStart w:id="357" w:name="_Toc332292947"/>
      <w:bookmarkStart w:id="358" w:name="_Toc281986256"/>
      <w:bookmarkStart w:id="359" w:name="_Toc320534139"/>
      <w:bookmarkStart w:id="360" w:name="_Toc290472561"/>
      <w:bookmarkStart w:id="361" w:name="_Toc332809921"/>
      <w:bookmarkStart w:id="362" w:name="_Toc301947987"/>
      <w:bookmarkStart w:id="363" w:name="_Toc290472732"/>
      <w:bookmarkStart w:id="364" w:name="_Toc286304926"/>
      <w:r>
        <w:rPr>
          <w:rFonts w:hint="eastAsia" w:ascii="仿宋" w:hAnsi="仿宋" w:eastAsia="仿宋"/>
          <w:sz w:val="32"/>
          <w:szCs w:val="32"/>
        </w:rPr>
        <w:t>说明与该次重大资产重组相关的承诺及其履行情况，包括关于盈利预测的承诺（如适用）、关于规范和减少关联交易的承诺、关于维护上市公司独立性的承诺、关于锁定期的承诺（如适用）、关于资产注入的承诺（如适用）、其他承诺等。</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七、说明相关后续事项的合规性及风险</w:t>
      </w:r>
      <w:r>
        <w:rPr>
          <w:rFonts w:hint="eastAsia" w:ascii="仿宋" w:hAnsi="仿宋" w:eastAsia="仿宋"/>
          <w:b/>
          <w:sz w:val="32"/>
          <w:szCs w:val="32"/>
        </w:rPr>
        <w:tab/>
      </w:r>
    </w:p>
    <w:p>
      <w:pPr>
        <w:spacing w:line="560" w:lineRule="exact"/>
        <w:ind w:firstLine="643" w:firstLineChars="200"/>
        <w:rPr>
          <w:rFonts w:ascii="仿宋" w:hAnsi="仿宋" w:eastAsia="仿宋"/>
          <w:b/>
          <w:sz w:val="32"/>
          <w:szCs w:val="32"/>
        </w:rPr>
      </w:pPr>
      <w:bookmarkStart w:id="365" w:name="_Toc287512905"/>
      <w:bookmarkStart w:id="366" w:name="_Toc286304927"/>
      <w:bookmarkStart w:id="367" w:name="_Toc281986257"/>
      <w:bookmarkStart w:id="368" w:name="_Toc277684231"/>
      <w:bookmarkStart w:id="369" w:name="_Toc281984786"/>
      <w:r>
        <w:rPr>
          <w:rFonts w:hint="eastAsia" w:ascii="仿宋" w:hAnsi="仿宋" w:eastAsia="仿宋"/>
          <w:b/>
          <w:sz w:val="32"/>
          <w:szCs w:val="32"/>
        </w:rPr>
        <w:t>八、摘录独立财务顾问对本次重组实施情况的结论性意见</w:t>
      </w:r>
      <w:bookmarkEnd w:id="365"/>
      <w:bookmarkEnd w:id="366"/>
      <w:bookmarkEnd w:id="367"/>
      <w:bookmarkEnd w:id="368"/>
      <w:bookmarkEnd w:id="369"/>
    </w:p>
    <w:p>
      <w:pPr>
        <w:spacing w:line="560" w:lineRule="exact"/>
        <w:ind w:firstLine="643" w:firstLineChars="200"/>
        <w:rPr>
          <w:rFonts w:ascii="仿宋" w:hAnsi="仿宋" w:eastAsia="仿宋"/>
          <w:b/>
          <w:sz w:val="32"/>
          <w:szCs w:val="32"/>
        </w:rPr>
      </w:pPr>
      <w:bookmarkStart w:id="370" w:name="_Toc286304928"/>
      <w:bookmarkStart w:id="371" w:name="_Toc281986258"/>
      <w:bookmarkStart w:id="372" w:name="_Toc281984787"/>
      <w:bookmarkStart w:id="373" w:name="_Toc287512906"/>
      <w:bookmarkStart w:id="374" w:name="_Toc277684232"/>
      <w:r>
        <w:rPr>
          <w:rFonts w:hint="eastAsia" w:ascii="仿宋" w:hAnsi="仿宋" w:eastAsia="仿宋"/>
          <w:b/>
          <w:sz w:val="32"/>
          <w:szCs w:val="32"/>
        </w:rPr>
        <w:t>九、摘录法律顾问对本次重组实施情况的结论性意见</w:t>
      </w:r>
      <w:bookmarkEnd w:id="370"/>
      <w:bookmarkEnd w:id="371"/>
      <w:bookmarkEnd w:id="372"/>
      <w:bookmarkEnd w:id="373"/>
      <w:bookmarkEnd w:id="374"/>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十、备查文件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1.经加盖董事会印章的重大资产重组实施情况报告书；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2.资产重组相关资产过户或者交付证明、相关债权债务处理证明以及证券发行登记证明（涉及新增股份上市的）；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3.新增股份上市的书面申请（涉及新增股份上市的）；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4.独立财务顾问核查意见；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6.独立财务顾问协议及保荐协议（如有）；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7.发行完成后经符合《证券法》规定的会计师事务所出具的验资报告（涉及新增股份上市的）；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8.结算公司对新增股份、可转债登记托管情况的书面证明（涉及新增股份、可转债上市的）；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9.控股股东、实际控制人、其他重组方和上市公司在重大资产重组中作出的承诺（上市公司及有关各方签字盖章）；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10.深交所要求的其他文件。</w:t>
      </w:r>
    </w:p>
    <w:p>
      <w:pPr>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375" w:name="_Toc31723"/>
      <w:bookmarkStart w:id="376" w:name="_Toc138173245"/>
      <w:r>
        <w:rPr>
          <w:rFonts w:hint="eastAsia" w:ascii="方正小标宋简体" w:hAnsi="仿宋" w:eastAsia="方正小标宋简体"/>
          <w:kern w:val="44"/>
          <w:sz w:val="44"/>
          <w:szCs w:val="44"/>
        </w:rPr>
        <w:t>交易类第13号　上市公司期货和衍生品</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交易（含套期保值业务）公告格式</w:t>
      </w:r>
      <w:bookmarkEnd w:id="375"/>
      <w:bookmarkEnd w:id="376"/>
    </w:p>
    <w:p>
      <w:pPr>
        <w:spacing w:line="560" w:lineRule="exact"/>
        <w:ind w:firstLine="880" w:firstLineChars="200"/>
        <w:rPr>
          <w:rFonts w:ascii="方正小标宋简体" w:hAnsi="仿宋" w:eastAsia="方正小标宋简体"/>
          <w:kern w:val="44"/>
          <w:sz w:val="44"/>
          <w:szCs w:val="44"/>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适用范围：</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上市公司开展《深圳证券交易所上市公司自律监管指引第7号——交易与关联交易》中规定的期货和衍生品交易（含套期保值业务）的，适用本公告格式。</w:t>
      </w:r>
    </w:p>
    <w:p>
      <w:pPr>
        <w:adjustRightInd w:val="0"/>
        <w:snapToGrid w:val="0"/>
        <w:spacing w:line="560" w:lineRule="exact"/>
        <w:ind w:firstLine="800" w:firstLineChars="250"/>
        <w:rPr>
          <w:rFonts w:ascii="仿宋" w:hAnsi="仿宋" w:eastAsia="仿宋"/>
          <w:sz w:val="32"/>
          <w:szCs w:val="32"/>
        </w:rPr>
      </w:pPr>
    </w:p>
    <w:p>
      <w:pPr>
        <w:adjustRightInd w:val="0"/>
        <w:snapToGrid w:val="0"/>
        <w:spacing w:line="560" w:lineRule="exact"/>
        <w:ind w:firstLine="425" w:firstLineChars="133"/>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XXXXXX股份有限公司期货和衍生品交易（含套期保值业务）公告</w:t>
      </w:r>
    </w:p>
    <w:p>
      <w:pPr>
        <w:tabs>
          <w:tab w:val="left" w:pos="540"/>
          <w:tab w:val="left" w:pos="900"/>
        </w:tabs>
        <w:adjustRightInd w:val="0"/>
        <w:snapToGrid w:val="0"/>
        <w:spacing w:line="360" w:lineRule="auto"/>
        <w:ind w:firstLine="420" w:firstLineChars="200"/>
        <w:rPr>
          <w:rFonts w:ascii="仿宋" w:hAnsi="仿宋" w:eastAsia="仿宋"/>
          <w:b/>
          <w:bCs/>
          <w:sz w:val="32"/>
          <w:szCs w:val="32"/>
        </w:rPr>
      </w:pPr>
      <w:r>
        <w:rPr>
          <w:rFonts w:hint="eastAsia"/>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187325</wp:posOffset>
                </wp:positionV>
                <wp:extent cx="5915025" cy="1628775"/>
                <wp:effectExtent l="0" t="0" r="28575" b="2857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4.75pt;height:128.25pt;width:465.75pt;mso-position-horizontal:center;mso-position-horizontal-relative:margin;z-index:251693056;mso-width-relative:page;mso-height-relative:page;" fillcolor="#FFFFFF" filled="t" stroked="t" coordsize="21600,21600" o:gfxdata="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cJEGvWAAAABwEAAA8AAAAAAAAAAQAgAAAAIgAAAGRycy9kb3ducmV2&#10;LnhtbFBLAQIUABQAAAAIAIdO4kDtT/7f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tabs>
          <w:tab w:val="left" w:pos="540"/>
          <w:tab w:val="left" w:pos="900"/>
        </w:tabs>
        <w:adjustRightInd w:val="0"/>
        <w:snapToGrid w:val="0"/>
        <w:spacing w:line="360" w:lineRule="auto"/>
        <w:ind w:firstLine="643" w:firstLineChars="200"/>
        <w:rPr>
          <w:rFonts w:ascii="仿宋" w:hAnsi="仿宋" w:eastAsia="仿宋"/>
          <w:b/>
          <w:bCs/>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重要内容提示：</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sz w:val="32"/>
          <w:szCs w:val="32"/>
        </w:rPr>
        <w:t>.</w:t>
      </w:r>
      <w:r>
        <w:rPr>
          <w:rFonts w:hint="eastAsia" w:ascii="仿宋" w:hAnsi="仿宋" w:eastAsia="仿宋"/>
          <w:color w:val="000000"/>
          <w:kern w:val="0"/>
          <w:sz w:val="32"/>
          <w:szCs w:val="32"/>
        </w:rPr>
        <w:t>交易目的、交易品种、交易工具、交易场所和交易金额</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w:t>
      </w:r>
      <w:r>
        <w:rPr>
          <w:rFonts w:hint="eastAsia" w:ascii="仿宋" w:hAnsi="仿宋" w:eastAsia="仿宋" w:cs="宋体"/>
          <w:kern w:val="0"/>
          <w:sz w:val="32"/>
          <w:szCs w:val="32"/>
        </w:rPr>
        <w:t>已履行及拟履行的审议程序。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sz w:val="32"/>
          <w:szCs w:val="32"/>
        </w:rPr>
        <w:t>.</w:t>
      </w:r>
      <w:r>
        <w:rPr>
          <w:rFonts w:hint="eastAsia" w:ascii="仿宋" w:hAnsi="仿宋" w:eastAsia="仿宋" w:cs="宋体"/>
          <w:kern w:val="0"/>
          <w:sz w:val="32"/>
          <w:szCs w:val="32"/>
        </w:rPr>
        <w:t>风险提示。</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一、投资情况概述</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sz w:val="32"/>
          <w:szCs w:val="32"/>
        </w:rPr>
        <w:t>.</w:t>
      </w:r>
      <w:r>
        <w:rPr>
          <w:rFonts w:hint="eastAsia" w:ascii="仿宋" w:hAnsi="仿宋" w:eastAsia="仿宋" w:cs="宋体"/>
          <w:kern w:val="0"/>
          <w:sz w:val="32"/>
          <w:szCs w:val="32"/>
        </w:rPr>
        <w:t>投资目的：简述期货和衍生品交易的目的，结合公司主营业务说明交易的必要性及可行性、是否影响公司主营业务的发展、公司资金使用安排是否合理等。公司应在公告标题中明确说明本次交易目的（投资或套期保值）。</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以套期保值为目的开展期货和衍生品交易的，应当说明期货和衍生品品种、预期管理的风险敞口，明确两者是否存在风险相互对冲的经济关系，如何运用期货和衍生品对相关风险敞口进行套期保值，并说明套期保值预计可实现的效果。</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以获取投资收益为目的的期货和衍生品交易的，不得在公告内容及标题中使用“套期保值”“风险管理”等可能使投资者对交易目的产生误解的词语。</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w:t>
      </w:r>
      <w:r>
        <w:rPr>
          <w:rFonts w:hint="eastAsia" w:ascii="仿宋" w:hAnsi="仿宋" w:eastAsia="仿宋" w:cs="宋体"/>
          <w:kern w:val="0"/>
          <w:sz w:val="32"/>
          <w:szCs w:val="32"/>
        </w:rPr>
        <w:t>交易金额：说明预计动用的交易保证金和权利金上限（包括为交易而提供的担保物价值、预计占用的金融机构授信额度、为应急措施所预留的保证金等）和</w:t>
      </w:r>
      <w:r>
        <w:rPr>
          <w:rFonts w:hint="eastAsia" w:ascii="仿宋" w:hAnsi="仿宋" w:eastAsia="仿宋"/>
          <w:color w:val="000000"/>
          <w:kern w:val="0"/>
          <w:sz w:val="32"/>
          <w:szCs w:val="32"/>
        </w:rPr>
        <w:t>预计任一交易日持有的最高合约价值</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如果公司对</w:t>
      </w:r>
      <w:r>
        <w:rPr>
          <w:rFonts w:hint="eastAsia" w:ascii="仿宋" w:hAnsi="仿宋" w:eastAsia="仿宋"/>
          <w:color w:val="000000"/>
          <w:kern w:val="0"/>
          <w:sz w:val="32"/>
          <w:szCs w:val="32"/>
        </w:rPr>
        <w:t>未来十二个月内期货和衍生品交易的额度进行合理预计并审议</w:t>
      </w:r>
      <w:r>
        <w:rPr>
          <w:rFonts w:hint="eastAsia" w:ascii="仿宋" w:hAnsi="仿宋" w:eastAsia="仿宋" w:cs="宋体"/>
          <w:kern w:val="0"/>
          <w:sz w:val="32"/>
          <w:szCs w:val="32"/>
        </w:rPr>
        <w:t>，应明确期限内任一时点的交易金额</w:t>
      </w:r>
      <w:r>
        <w:rPr>
          <w:rFonts w:hint="eastAsia" w:ascii="仿宋" w:hAnsi="仿宋" w:eastAsia="仿宋"/>
          <w:color w:val="000000"/>
          <w:kern w:val="0"/>
          <w:sz w:val="32"/>
          <w:szCs w:val="32"/>
        </w:rPr>
        <w:t>（含前述交易的收益进行再交易的相关金额）将</w:t>
      </w:r>
      <w:r>
        <w:rPr>
          <w:rFonts w:hint="eastAsia" w:ascii="仿宋" w:hAnsi="仿宋" w:eastAsia="仿宋" w:cs="宋体"/>
          <w:kern w:val="0"/>
          <w:sz w:val="32"/>
          <w:szCs w:val="32"/>
        </w:rPr>
        <w:t>不超过</w:t>
      </w:r>
      <w:r>
        <w:rPr>
          <w:rFonts w:hint="eastAsia" w:ascii="仿宋" w:hAnsi="仿宋" w:eastAsia="仿宋"/>
          <w:color w:val="000000"/>
          <w:kern w:val="0"/>
          <w:sz w:val="32"/>
          <w:szCs w:val="32"/>
        </w:rPr>
        <w:t>已审议额度</w:t>
      </w:r>
      <w:r>
        <w:rPr>
          <w:rFonts w:hint="eastAsia" w:ascii="仿宋" w:hAnsi="仿宋" w:eastAsia="仿宋" w:cs="宋体"/>
          <w:kern w:val="0"/>
          <w:sz w:val="32"/>
          <w:szCs w:val="32"/>
        </w:rPr>
        <w:t>。</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sz w:val="32"/>
          <w:szCs w:val="32"/>
        </w:rPr>
        <w:t>.</w:t>
      </w:r>
      <w:r>
        <w:rPr>
          <w:rFonts w:hint="eastAsia" w:ascii="仿宋" w:hAnsi="仿宋" w:eastAsia="仿宋" w:cs="宋体"/>
          <w:kern w:val="0"/>
          <w:sz w:val="32"/>
          <w:szCs w:val="32"/>
        </w:rPr>
        <w:t>交易方式：说明</w:t>
      </w:r>
      <w:r>
        <w:rPr>
          <w:rFonts w:hint="eastAsia" w:ascii="仿宋" w:hAnsi="仿宋" w:eastAsia="仿宋"/>
          <w:color w:val="000000"/>
          <w:kern w:val="0"/>
          <w:sz w:val="32"/>
          <w:szCs w:val="32"/>
        </w:rPr>
        <w:t>交易场所和具体交易品种。如拟在境外开展期货和衍生品交易的或拟开展场外衍生品交易，应进一步说明交易的必要性。</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sz w:val="32"/>
          <w:szCs w:val="32"/>
        </w:rPr>
        <w:t>.</w:t>
      </w:r>
      <w:r>
        <w:rPr>
          <w:rFonts w:hint="eastAsia" w:ascii="仿宋" w:hAnsi="仿宋" w:eastAsia="仿宋" w:cs="宋体"/>
          <w:kern w:val="0"/>
          <w:sz w:val="32"/>
          <w:szCs w:val="32"/>
        </w:rPr>
        <w:t>交易期限：说明本次授权在交易额度范围内进行期货和衍生品交易的期限。</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w:t>
      </w:r>
      <w:r>
        <w:rPr>
          <w:rFonts w:hint="eastAsia" w:ascii="仿宋" w:hAnsi="仿宋" w:eastAsia="仿宋"/>
          <w:sz w:val="32"/>
          <w:szCs w:val="32"/>
        </w:rPr>
        <w:t>.</w:t>
      </w:r>
      <w:r>
        <w:rPr>
          <w:rFonts w:hint="eastAsia" w:ascii="仿宋" w:hAnsi="仿宋" w:eastAsia="仿宋" w:cs="宋体"/>
          <w:kern w:val="0"/>
          <w:sz w:val="32"/>
          <w:szCs w:val="32"/>
        </w:rPr>
        <w:t>资金来源：说明公司本次交易的资金来源，有无涉及使用募集资金或银行信贷资金。</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二、审议程序</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说明本次交易需要履行的程序，是否已获得公司董事会或者股东大会审议通过；涉及关联交易的，说明是否需要履行或者已履行的关联交易审议程序，以及相关的表决情况等。</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三、交易风险分析及风控措施</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评估本次交易的风险，说明公司期货和衍生品交易相关部门设置与人员配备情况、账户及资金管理制度、交易决策程序、报告制度、风险监控等内部控制及风险管理方面的情况。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公司拟在境外开展期货和衍生品交易的，应当披露在相关国家和地区开展交易的政治、经济和法律等风险，是否已充分考虑结算便捷性、交易流动性、汇率波动性等因素。</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公司拟开展场外衍生品交易的，应当披露产品结构复杂程度、流动性风险及交易对手信用风险。</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以获取投资收益为目的的期货和衍生品交易的，公司应当分项披露交易各类期货和衍生品的风险，包括但不限于市场风险、流动性风险、信用风险、操作风险、法律风险等风险及其估算方法、参数设置、发生概率，说明针对各类期货和衍生品设定的止损限额等风险管理措施，分析并披露上述风险可能导致相关合约产生最大损失金额。</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四、交易相关会计处理</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说明公司拟采用的会计政策及核算原则。公司以套期保值为目的开展期货和衍生品交易的，应当说明套期保值业务是否符合《企业会计准则第24号——套期会计》规定的套期会计适用条件、是否拟采取套期会计进行会计处理。</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五、中介机构意见（如适用）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保荐人应就公司期货和衍生品交易的合规性、对公司的影响、可能存在的风险、公司采取的风险控制措施是否充分有效等事项进行核查，并出具结论性意见（如适用）。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公司聘请专业机构就期货和衍生品交易出具的可行性分析报告应当同时披露。</w:t>
      </w:r>
    </w:p>
    <w:p>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六、备查文件</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sz w:val="32"/>
          <w:szCs w:val="32"/>
        </w:rPr>
        <w:t>.</w:t>
      </w:r>
      <w:r>
        <w:rPr>
          <w:rFonts w:hint="eastAsia" w:ascii="仿宋" w:hAnsi="仿宋" w:eastAsia="仿宋" w:cs="宋体"/>
          <w:kern w:val="0"/>
          <w:sz w:val="32"/>
          <w:szCs w:val="32"/>
        </w:rPr>
        <w:t>董事会决议及公告；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w:t>
      </w:r>
      <w:r>
        <w:rPr>
          <w:rFonts w:hint="eastAsia" w:ascii="仿宋" w:hAnsi="仿宋" w:eastAsia="仿宋" w:cs="宋体"/>
          <w:kern w:val="0"/>
          <w:sz w:val="32"/>
          <w:szCs w:val="32"/>
        </w:rPr>
        <w:t xml:space="preserve">保荐人意见（如适用）； </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sz w:val="32"/>
          <w:szCs w:val="32"/>
        </w:rPr>
        <w:t>.</w:t>
      </w:r>
      <w:r>
        <w:rPr>
          <w:rFonts w:hint="eastAsia" w:ascii="仿宋" w:hAnsi="仿宋" w:eastAsia="仿宋" w:cs="宋体"/>
          <w:kern w:val="0"/>
          <w:sz w:val="32"/>
          <w:szCs w:val="32"/>
        </w:rPr>
        <w:t>公司出具的可行性分析报告；</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sz w:val="32"/>
          <w:szCs w:val="32"/>
        </w:rPr>
        <w:t>.</w:t>
      </w:r>
      <w:r>
        <w:rPr>
          <w:rFonts w:hint="eastAsia" w:ascii="仿宋" w:hAnsi="仿宋" w:eastAsia="仿宋" w:cs="宋体"/>
          <w:kern w:val="0"/>
          <w:sz w:val="32"/>
          <w:szCs w:val="32"/>
        </w:rPr>
        <w:t>专业机构出具的可行性分析报告（如适用）；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w:t>
      </w:r>
      <w:r>
        <w:rPr>
          <w:rFonts w:hint="eastAsia" w:ascii="仿宋" w:hAnsi="仿宋" w:eastAsia="仿宋"/>
          <w:sz w:val="32"/>
          <w:szCs w:val="32"/>
        </w:rPr>
        <w:t>.</w:t>
      </w:r>
      <w:r>
        <w:rPr>
          <w:rFonts w:hint="eastAsia" w:ascii="仿宋" w:hAnsi="仿宋" w:eastAsia="仿宋" w:cs="宋体"/>
          <w:kern w:val="0"/>
          <w:sz w:val="32"/>
          <w:szCs w:val="32"/>
        </w:rPr>
        <w:t>期货和衍生品交易相关的内控制度；</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w:t>
      </w:r>
      <w:r>
        <w:rPr>
          <w:rFonts w:hint="eastAsia" w:ascii="仿宋" w:hAnsi="仿宋" w:eastAsia="仿宋"/>
          <w:sz w:val="32"/>
          <w:szCs w:val="32"/>
        </w:rPr>
        <w:t>.</w:t>
      </w:r>
      <w:r>
        <w:rPr>
          <w:rFonts w:hint="eastAsia" w:ascii="仿宋" w:hAnsi="仿宋" w:eastAsia="仿宋" w:cs="宋体"/>
          <w:kern w:val="0"/>
          <w:sz w:val="32"/>
          <w:szCs w:val="32"/>
        </w:rPr>
        <w:t>以公司名义开立的期货和衍生品合约账户和资金账户情况；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7</w:t>
      </w:r>
      <w:r>
        <w:rPr>
          <w:rFonts w:hint="eastAsia" w:ascii="仿宋" w:hAnsi="仿宋" w:eastAsia="仿宋"/>
          <w:sz w:val="32"/>
          <w:szCs w:val="32"/>
        </w:rPr>
        <w:t>.</w:t>
      </w:r>
      <w:r>
        <w:rPr>
          <w:rFonts w:hint="eastAsia" w:ascii="仿宋" w:hAnsi="仿宋" w:eastAsia="仿宋" w:cs="宋体"/>
          <w:kern w:val="0"/>
          <w:sz w:val="32"/>
          <w:szCs w:val="32"/>
        </w:rPr>
        <w:t>期货和衍生品交易合同或者具体说明材料；</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8</w:t>
      </w:r>
      <w:r>
        <w:rPr>
          <w:rFonts w:hint="eastAsia" w:ascii="仿宋" w:hAnsi="仿宋" w:eastAsia="仿宋"/>
          <w:sz w:val="32"/>
          <w:szCs w:val="32"/>
        </w:rPr>
        <w:t>.</w:t>
      </w:r>
      <w:r>
        <w:rPr>
          <w:rFonts w:hint="eastAsia" w:ascii="仿宋" w:hAnsi="仿宋" w:eastAsia="仿宋" w:cs="宋体"/>
          <w:kern w:val="0"/>
          <w:sz w:val="32"/>
          <w:szCs w:val="32"/>
        </w:rPr>
        <w:t>本所要求的其他文件。</w:t>
      </w:r>
    </w:p>
    <w:p>
      <w:pPr>
        <w:tabs>
          <w:tab w:val="left" w:pos="540"/>
          <w:tab w:val="left" w:pos="900"/>
        </w:tabs>
        <w:adjustRightInd w:val="0"/>
        <w:spacing w:line="560" w:lineRule="exact"/>
        <w:ind w:firstLine="640" w:firstLineChars="200"/>
        <w:rPr>
          <w:rFonts w:ascii="仿宋" w:hAnsi="仿宋" w:eastAsia="仿宋"/>
          <w:bCs/>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ind w:firstLine="643" w:firstLineChars="200"/>
        <w:rPr>
          <w:rFonts w:ascii="仿宋" w:hAnsi="仿宋" w:eastAsia="仿宋" w:cs="宋体"/>
          <w:kern w:val="0"/>
          <w:sz w:val="32"/>
          <w:szCs w:val="32"/>
        </w:rPr>
      </w:pPr>
      <w:r>
        <w:rPr>
          <w:rFonts w:hint="eastAsia" w:ascii="仿宋" w:hAnsi="仿宋" w:eastAsia="仿宋" w:cs="宋体"/>
          <w:b/>
          <w:kern w:val="0"/>
          <w:sz w:val="32"/>
          <w:szCs w:val="32"/>
        </w:rPr>
        <w:t>备注：</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市公司关于期货和衍生品交易（含套期保值业务）公告首次披露后，如后续出现本所《上市公司自律监管指引第7号——交易与关联交易》规定的需披露的亏损情形，应当及时披露相关情况、拟采取的应对措施。因开展套期保值业务导致亏损达到披露标准时，还应当重新评估套期关系的有效性，披露套期工具和被套期项目的公允价值或现金流量变动未按预期抵销的原因，并分别披露套期工具和被套期项目价值变动情况等。</w:t>
      </w:r>
    </w:p>
    <w:p>
      <w:pPr>
        <w:spacing w:line="560" w:lineRule="exact"/>
        <w:ind w:right="480" w:firstLine="3430"/>
        <w:jc w:val="right"/>
        <w:rPr>
          <w:rFonts w:ascii="仿宋" w:hAnsi="仿宋" w:eastAsia="仿宋"/>
          <w:sz w:val="32"/>
          <w:szCs w:val="32"/>
        </w:rPr>
      </w:pP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377" w:name="_Toc40795930"/>
      <w:bookmarkStart w:id="378" w:name="_Toc138173246"/>
      <w:bookmarkStart w:id="379" w:name="_Toc40813201"/>
      <w:bookmarkStart w:id="380" w:name="_Toc15391905"/>
      <w:bookmarkStart w:id="381" w:name="_Toc91781176"/>
      <w:bookmarkStart w:id="382" w:name="_Toc91782457"/>
      <w:bookmarkStart w:id="383" w:name="_Toc91607659"/>
      <w:bookmarkStart w:id="384" w:name="_Toc60758271"/>
      <w:bookmarkStart w:id="385" w:name="_Toc22816"/>
      <w:r>
        <w:rPr>
          <w:rFonts w:hint="eastAsia" w:ascii="方正小标宋简体" w:hAnsi="仿宋" w:eastAsia="方正小标宋简体"/>
          <w:kern w:val="44"/>
          <w:sz w:val="44"/>
          <w:szCs w:val="44"/>
        </w:rPr>
        <w:t>再融资类第１号　上市公司用募集资金</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置换先期投入公告格式</w:t>
      </w:r>
      <w:bookmarkEnd w:id="377"/>
      <w:bookmarkEnd w:id="378"/>
      <w:bookmarkEnd w:id="379"/>
      <w:bookmarkEnd w:id="380"/>
      <w:bookmarkEnd w:id="381"/>
      <w:bookmarkEnd w:id="382"/>
      <w:bookmarkEnd w:id="383"/>
      <w:bookmarkEnd w:id="384"/>
      <w:bookmarkEnd w:id="385"/>
    </w:p>
    <w:p>
      <w:pPr>
        <w:autoSpaceDE w:val="0"/>
        <w:autoSpaceDN w:val="0"/>
        <w:adjustRightInd w:val="0"/>
        <w:spacing w:line="560" w:lineRule="exact"/>
        <w:rPr>
          <w:rFonts w:ascii="仿宋" w:hAnsi="仿宋" w:eastAsia="仿宋"/>
          <w:b/>
          <w:sz w:val="32"/>
          <w:szCs w:val="32"/>
        </w:rPr>
      </w:pPr>
    </w:p>
    <w:p>
      <w:pPr>
        <w:autoSpaceDE w:val="0"/>
        <w:autoSpaceDN w:val="0"/>
        <w:adjustRightInd w:val="0"/>
        <w:spacing w:line="560" w:lineRule="exact"/>
        <w:ind w:firstLine="208" w:firstLineChars="65"/>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XXXXXX股份有限公司用募集资金置换先期投入公告</w:t>
      </w:r>
    </w:p>
    <w:p>
      <w:pPr>
        <w:snapToGrid w:val="0"/>
        <w:spacing w:before="258" w:line="560" w:lineRule="exact"/>
        <w:rPr>
          <w:rFonts w:ascii="仿宋" w:hAnsi="仿宋" w:eastAsia="仿宋"/>
          <w:b/>
          <w:sz w:val="32"/>
          <w:szCs w:val="32"/>
        </w:rPr>
      </w:pPr>
      <w:r>
        <w:rPr>
          <w:rFonts w:hint="eastAsia"/>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120650</wp:posOffset>
                </wp:positionV>
                <wp:extent cx="5915025" cy="1628775"/>
                <wp:effectExtent l="0" t="0" r="28575" b="2857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5pt;height:128.25pt;width:465.75pt;mso-position-horizontal:center;mso-position-horizontal-relative:margin;z-index:251694080;mso-width-relative:page;mso-height-relative:page;" fillcolor="#FFFFFF" filled="t" stroked="t" coordsize="21600,21600" o:gfxdata="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bHovWAAAABwEAAA8AAAAAAAAAAQAgAAAAIgAAAGRycy9kb3ducmV2&#10;LnhtbFBLAQIUABQAAAAIAIdO4kCQaUGC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before="258" w:line="560" w:lineRule="exact"/>
        <w:rPr>
          <w:rFonts w:ascii="仿宋" w:hAnsi="仿宋" w:eastAsia="仿宋"/>
          <w:b/>
          <w:sz w:val="32"/>
          <w:szCs w:val="32"/>
        </w:rPr>
      </w:pPr>
    </w:p>
    <w:p>
      <w:pPr>
        <w:snapToGrid w:val="0"/>
        <w:spacing w:line="560" w:lineRule="exact"/>
        <w:ind w:firstLine="480"/>
        <w:rPr>
          <w:rFonts w:ascii="仿宋" w:hAnsi="仿宋" w:eastAsia="仿宋"/>
          <w:b/>
          <w:sz w:val="32"/>
          <w:szCs w:val="32"/>
        </w:rPr>
      </w:pPr>
    </w:p>
    <w:p>
      <w:pPr>
        <w:snapToGrid w:val="0"/>
        <w:spacing w:line="560" w:lineRule="exact"/>
        <w:ind w:firstLine="567"/>
        <w:rPr>
          <w:rFonts w:ascii="仿宋" w:hAnsi="仿宋" w:eastAsia="仿宋"/>
          <w:b/>
          <w:sz w:val="32"/>
          <w:szCs w:val="32"/>
        </w:rPr>
      </w:pP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一、募集资金投入和置换情况概述</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说明扣除发行费用后的实际募集资金金额、资金到账时间、已使用金额及当前余额。</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列表说明募集资金投资项目、投资总额、募集资金承诺投资金额、自有资金已投入金额及已置换金额或拟置换金额。</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145"/>
        <w:gridCol w:w="1933"/>
        <w:gridCol w:w="193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25"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b/>
                <w:sz w:val="24"/>
                <w:szCs w:val="24"/>
              </w:rPr>
            </w:pPr>
            <w:r>
              <w:rPr>
                <w:rFonts w:hint="eastAsia" w:ascii="仿宋" w:hAnsi="仿宋" w:eastAsia="仿宋"/>
                <w:b/>
                <w:sz w:val="24"/>
                <w:szCs w:val="24"/>
              </w:rPr>
              <w:t>募集资金投资项目</w:t>
            </w:r>
          </w:p>
        </w:tc>
        <w:tc>
          <w:tcPr>
            <w:tcW w:w="672"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b/>
                <w:sz w:val="24"/>
                <w:szCs w:val="24"/>
              </w:rPr>
            </w:pPr>
            <w:r>
              <w:rPr>
                <w:rFonts w:hint="eastAsia" w:ascii="仿宋" w:hAnsi="仿宋" w:eastAsia="仿宋"/>
                <w:b/>
                <w:sz w:val="24"/>
                <w:szCs w:val="24"/>
              </w:rPr>
              <w:t>投资总额</w:t>
            </w:r>
          </w:p>
        </w:tc>
        <w:tc>
          <w:tcPr>
            <w:tcW w:w="1134"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b/>
                <w:sz w:val="24"/>
                <w:szCs w:val="24"/>
              </w:rPr>
            </w:pPr>
            <w:r>
              <w:rPr>
                <w:rFonts w:hint="eastAsia" w:ascii="仿宋" w:hAnsi="仿宋" w:eastAsia="仿宋"/>
                <w:b/>
                <w:sz w:val="24"/>
                <w:szCs w:val="24"/>
              </w:rPr>
              <w:t>募集资金承诺投资金额</w:t>
            </w:r>
          </w:p>
        </w:tc>
        <w:tc>
          <w:tcPr>
            <w:tcW w:w="1135"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b/>
                <w:sz w:val="24"/>
                <w:szCs w:val="24"/>
              </w:rPr>
            </w:pPr>
            <w:r>
              <w:rPr>
                <w:rFonts w:hint="eastAsia" w:ascii="仿宋" w:hAnsi="仿宋" w:eastAsia="仿宋"/>
                <w:b/>
                <w:sz w:val="24"/>
                <w:szCs w:val="24"/>
              </w:rPr>
              <w:t>截至披露日自有资金已投入金额</w:t>
            </w:r>
          </w:p>
        </w:tc>
        <w:tc>
          <w:tcPr>
            <w:tcW w:w="1135"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rFonts w:ascii="仿宋" w:hAnsi="仿宋" w:eastAsia="仿宋"/>
                <w:b/>
                <w:sz w:val="24"/>
                <w:szCs w:val="24"/>
              </w:rPr>
            </w:pPr>
            <w:r>
              <w:rPr>
                <w:rFonts w:hint="eastAsia" w:ascii="仿宋" w:hAnsi="仿宋" w:eastAsia="仿宋"/>
                <w:b/>
                <w:sz w:val="24"/>
                <w:szCs w:val="24"/>
              </w:rPr>
              <w:t>已置换金额/拟置换金额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672"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4"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672"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4"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r>
              <w:rPr>
                <w:rFonts w:hint="eastAsia" w:ascii="仿宋" w:hAnsi="仿宋" w:eastAsia="仿宋"/>
                <w:sz w:val="24"/>
                <w:szCs w:val="24"/>
              </w:rPr>
              <w:t>总计</w:t>
            </w:r>
          </w:p>
        </w:tc>
        <w:tc>
          <w:tcPr>
            <w:tcW w:w="672"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4"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c>
          <w:tcPr>
            <w:tcW w:w="1135" w:type="pct"/>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szCs w:val="24"/>
              </w:rPr>
            </w:pPr>
          </w:p>
        </w:tc>
      </w:tr>
    </w:tbl>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二、募集资金置换先期投入的实施</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公司在发行申请文件中对募集资金置换先期投入作出了安排的，应引用公司在发行申请文件中披露的拟以募集资金置换预先投入的表述，并说明本次拟置换或已置换金额是否与发行申请文件中的内容一致。若已完成置换的，应说明实施置换的时间。</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公司在发行申请文件中对募集资金置换先期投入未作出安排，或本次拟置换金额大于发行申请文件披露的金额的，应分析说明置换先期投入的必要性，是否变相改变募集资金用途，是否影响募集资金投资计划的正常进行，置换时间距募集资金到账时间是否不超过6个月，并披露董事会审议情况、监事会意见、会计师事务所出具鉴证报告的情况、保荐人或独立财务顾问意见等内容。</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三、备查文件</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1．董事会决议（如适用）；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2．监事会意见（如适用）；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3．会计师事务所出具的鉴证报告（如适用）；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4．保荐人或独立财务顾问意见（如适用）；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5．深交所要求的其他文件。</w:t>
      </w:r>
    </w:p>
    <w:p>
      <w:pPr>
        <w:snapToGri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386" w:name="_Toc510444129"/>
      <w:bookmarkStart w:id="387" w:name="_Toc2189898"/>
      <w:bookmarkStart w:id="388" w:name="_Toc2179914"/>
      <w:bookmarkStart w:id="389" w:name="_Toc2189131"/>
      <w:bookmarkStart w:id="390" w:name="_Toc40795931"/>
      <w:bookmarkStart w:id="391" w:name="_Toc2348642"/>
      <w:bookmarkStart w:id="392" w:name="_Toc527123133"/>
      <w:bookmarkStart w:id="393" w:name="_Toc430016283"/>
      <w:bookmarkStart w:id="394" w:name="_Toc15391906"/>
      <w:bookmarkStart w:id="395" w:name="_Toc15461"/>
      <w:bookmarkStart w:id="396" w:name="_Toc91782458"/>
      <w:bookmarkStart w:id="397" w:name="_Toc60758272"/>
      <w:bookmarkStart w:id="398" w:name="_Toc91781177"/>
      <w:bookmarkStart w:id="399" w:name="_Toc138173247"/>
      <w:bookmarkStart w:id="400" w:name="_Toc40813202"/>
      <w:bookmarkStart w:id="401" w:name="_Toc91607660"/>
      <w:r>
        <w:rPr>
          <w:rFonts w:hint="eastAsia" w:ascii="方正小标宋简体" w:hAnsi="仿宋" w:eastAsia="方正小标宋简体"/>
          <w:kern w:val="44"/>
          <w:sz w:val="44"/>
          <w:szCs w:val="44"/>
        </w:rPr>
        <w:t>再融资类第２号　上市公司募集资金</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年度存放与</w:t>
      </w:r>
      <w:bookmarkEnd w:id="386"/>
      <w:bookmarkEnd w:id="387"/>
      <w:bookmarkEnd w:id="388"/>
      <w:bookmarkEnd w:id="389"/>
      <w:bookmarkEnd w:id="390"/>
      <w:bookmarkEnd w:id="391"/>
      <w:bookmarkEnd w:id="392"/>
      <w:bookmarkEnd w:id="393"/>
      <w:bookmarkEnd w:id="394"/>
      <w:r>
        <w:rPr>
          <w:rFonts w:hint="eastAsia" w:ascii="方正小标宋简体" w:hAnsi="仿宋" w:eastAsia="方正小标宋简体"/>
          <w:kern w:val="44"/>
          <w:sz w:val="44"/>
          <w:szCs w:val="44"/>
        </w:rPr>
        <w:t>使用情况公告格式</w:t>
      </w:r>
      <w:bookmarkEnd w:id="395"/>
      <w:bookmarkEnd w:id="396"/>
      <w:bookmarkEnd w:id="397"/>
      <w:bookmarkEnd w:id="398"/>
      <w:bookmarkEnd w:id="399"/>
      <w:bookmarkEnd w:id="400"/>
      <w:bookmarkEnd w:id="401"/>
    </w:p>
    <w:p>
      <w:pPr>
        <w:autoSpaceDE w:val="0"/>
        <w:autoSpaceDN w:val="0"/>
        <w:adjustRightInd w:val="0"/>
        <w:spacing w:line="560" w:lineRule="exact"/>
        <w:jc w:val="center"/>
        <w:rPr>
          <w:rFonts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XXXXXX股份有限公司募集资金年度存放与使用情况公告</w:t>
      </w:r>
    </w:p>
    <w:p>
      <w:pPr>
        <w:spacing w:line="560" w:lineRule="exact"/>
        <w:ind w:firstLine="562"/>
        <w:rPr>
          <w:rFonts w:ascii="仿宋" w:hAnsi="仿宋" w:eastAsia="仿宋" w:cs="宋体"/>
          <w:kern w:val="0"/>
          <w:sz w:val="32"/>
          <w:szCs w:val="32"/>
        </w:rPr>
      </w:pPr>
      <w:r>
        <w:rPr>
          <w:rFonts w:hint="eastAsia"/>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130175</wp:posOffset>
                </wp:positionV>
                <wp:extent cx="5915025" cy="1628775"/>
                <wp:effectExtent l="0" t="0" r="28575" b="2857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25pt;height:128.25pt;width:465.75pt;mso-position-horizontal:center;mso-position-horizontal-relative:margin;z-index:251695104;mso-width-relative:page;mso-height-relative:page;" fillcolor="#FFFFFF" filled="t" stroked="t" coordsize="21600,21600" o:gfxdata="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7qLeNYAAAAHAQAADwAAAAAAAAABACAAAAAiAAAAZHJzL2Rvd25yZXYu&#10;eG1sUEsBAhQAFAAAAAgAh07iQBcDgGQ2AgAAfQQAAA4AAAAAAAAAAQAgAAAAJQ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562"/>
        <w:rPr>
          <w:rFonts w:ascii="仿宋" w:hAnsi="仿宋" w:eastAsia="仿宋" w:cs="宋体"/>
          <w:kern w:val="0"/>
          <w:sz w:val="32"/>
          <w:szCs w:val="32"/>
        </w:rPr>
      </w:pPr>
    </w:p>
    <w:p>
      <w:pPr>
        <w:spacing w:line="560" w:lineRule="exact"/>
        <w:ind w:firstLine="562"/>
        <w:rPr>
          <w:rFonts w:ascii="仿宋" w:hAnsi="仿宋" w:eastAsia="仿宋" w:cs="宋体"/>
          <w:kern w:val="0"/>
          <w:sz w:val="32"/>
          <w:szCs w:val="32"/>
        </w:rPr>
      </w:pPr>
    </w:p>
    <w:p>
      <w:pPr>
        <w:spacing w:line="560" w:lineRule="exact"/>
        <w:ind w:firstLine="562"/>
        <w:rPr>
          <w:rFonts w:ascii="仿宋" w:hAnsi="仿宋" w:eastAsia="仿宋" w:cs="宋体"/>
          <w:kern w:val="0"/>
          <w:sz w:val="32"/>
          <w:szCs w:val="32"/>
        </w:rPr>
      </w:pPr>
    </w:p>
    <w:p>
      <w:pPr>
        <w:spacing w:line="560" w:lineRule="exact"/>
        <w:ind w:firstLine="562"/>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一、募集资金基本情况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说明扣除发行费用后的实际募集资金金额、资金到账时间、以前年度已使用金额、本年度使用金额及当前余额。</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二、募集资金存放和管理情况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上市公司《募集资金管理制度》的制定和执行情况，包括募集资金在各银行账户的存储情况，公司与保荐人或者独立财务顾问、存放募集资金的商业银行签订募集资金三方监管协议的时间、与三方监管协议范本是否存在重大差异，三方监管协议的履行情况及存在的问题。</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三、本年度募集资金的实际使用情况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公司应在“募集资金使用情况对照表”（见附件1）中，说明本年度与募集资金使用相关的以下内容：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募集资金投资项目资金使用情况。分项目说明募集资金承诺投资项目和超募资金投向的承诺投资总额、调整后投资总额、本年度投入金额、截至期末累计投入金额、截至期末投资进度、项目达到预定可使用状态日期、本年度实现的效益、是否达到预计效益及项目可行性是否发生重大变化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募投项目出现以下情形的，应披露有关情况及拟采取的措施：（1）募投项目年度实际使用募集资金与最近一次披露的募集资金当年预计使用金额差异超过30%；（2）募投项目涉及的市场环境发生重大变化的；（3）募投项目搁置时间超过一年的；（4）募投项目超过最近一次募集资金投资计划的完成期限且募集资金投入金额未达到相关计划金额50%的；（5）募投项目决定终止的；（6）其他异常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募集资金投资项目无法单独核算效益的，应说明原因，并就该投资项目对公司财务状况、经营业绩的影响作定性分析。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2．募集资金投资项目的实施地点、实施方式变更情况。募集资金投资项目的实施地点、实施方式发生变更的，应当说明变动原因、决策程序和信息披露情况等。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3．募集资金投资项目先期投入及置换情况。公司以募集资金置换预先已投入募集资金投资项目的自筹资金的，应说明先期投入的金额、用募集资金置换先期投入的金额、时间和履行的决策程序。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4．用闲置募集资金暂时补充流动资金情况。公司以闲置募集资金暂时补充流动资金的，应说明决策程序、批准使用金额、起止时间、实际使用金额、募集资金是否如期归还等内容。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5．用闲置募集资金进行现金管理情况。当期使用闲置募集资金进行现金管理的，公司应当披露本报告期的收益情况以及期末的投资份额、签约方、产品名称、期限等情况。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6．节余募集资金使用情况。公司将募集资金投资项目节余资金用于其他募集资金投资项目或非募集资金投资项目的，应分别说明节余资金来源、履行的审批程序及披露情况。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7．超募资金使用情况。应说明超募资金的总金额、决策程序、使用计划、已使用金额及具体用项。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8．尚未使用的募集资金用途及去向。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9．募集资金使用的其他情况。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四、变更募集资金投资项目的资金使用情况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募集资金投资项目发生变更的，应在“变更募集资金投资项目情况表”（见附件2）中说明变更后的项目、对应的原项目、变更后项目拟投入募集资金总额、本年度实际投入金额、实际累计投入金额、投资进度、项目达到预定可使用状态日期、本年度实现的效益、是否达到预计效益及变更后的项目可行性是否发生重大变化及项目变更的原因、决策程序、信息披露情况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未达到计划进度及变更后的项目可行性发生重大变化的，应当解释原因。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变更后的募集资金投资项目无法单独核算效益的，应说明原因，并就该投资项目对公司财务状况、经营业绩的影响作定性分析。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募集资金投资项目已对外转让或置换的（募集资金投资项目对外转让或置换作为重大资产重组方案组成部分的情况除外），应单独说明在对外转让或置换前使用募集资金投资该项目的金额，投资项目完工程度和实现效益，转让或置换的定价依据及相关收益，转让价款收取和使用情况，换入资产的运行情况（至少应当包括资产权属变更情况、资产账面价值变化情况、生产经营情况和效益贡献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五、募集资金使用及披露中存在的问题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1．说明公司已披露的募集资金使用相关信息是否存在未及时、真实、准确、完整披露的情况。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2．说明募集资金存放、使用、管理及披露是否存在违规情形。存在违规情形的，应说明违规时间、发生原因、涉及金额及整改措施。</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六、公司存在两次以上融资且当年存在募集资金使用的，应在专项报告分别说明。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七、备查文件</w:t>
      </w: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68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b/>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黑体" w:hAnsi="黑体" w:eastAsia="黑体"/>
          <w:bCs/>
          <w:sz w:val="32"/>
          <w:szCs w:val="32"/>
        </w:rPr>
      </w:pPr>
      <w:r>
        <w:rPr>
          <w:rFonts w:hint="eastAsia" w:ascii="黑体" w:hAnsi="黑体" w:eastAsia="黑体"/>
          <w:bCs/>
          <w:sz w:val="32"/>
          <w:szCs w:val="32"/>
        </w:rPr>
        <w:t>附件1</w:t>
      </w:r>
    </w:p>
    <w:p>
      <w:pPr>
        <w:spacing w:line="560" w:lineRule="exact"/>
        <w:ind w:firstLine="480"/>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募集资金使用情况对照表</w:t>
      </w:r>
    </w:p>
    <w:p>
      <w:pPr>
        <w:spacing w:line="560" w:lineRule="exact"/>
        <w:ind w:firstLine="480"/>
        <w:jc w:val="center"/>
        <w:rPr>
          <w:rFonts w:ascii="Times New Roman" w:hAnsi="Times New Roman" w:eastAsia="方正小标宋简体"/>
          <w:b/>
          <w:bCs/>
          <w:sz w:val="32"/>
          <w:szCs w:val="32"/>
        </w:rPr>
      </w:pPr>
    </w:p>
    <w:tbl>
      <w:tblPr>
        <w:tblStyle w:val="59"/>
        <w:tblW w:w="5000" w:type="pct"/>
        <w:tblInd w:w="0" w:type="dxa"/>
        <w:tblLayout w:type="autofit"/>
        <w:tblCellMar>
          <w:top w:w="0" w:type="dxa"/>
          <w:left w:w="28" w:type="dxa"/>
          <w:bottom w:w="0" w:type="dxa"/>
          <w:right w:w="28" w:type="dxa"/>
        </w:tblCellMar>
      </w:tblPr>
      <w:tblGrid>
        <w:gridCol w:w="1998"/>
        <w:gridCol w:w="503"/>
        <w:gridCol w:w="54"/>
        <w:gridCol w:w="439"/>
        <w:gridCol w:w="10"/>
        <w:gridCol w:w="38"/>
        <w:gridCol w:w="598"/>
        <w:gridCol w:w="23"/>
        <w:gridCol w:w="505"/>
        <w:gridCol w:w="659"/>
        <w:gridCol w:w="7"/>
        <w:gridCol w:w="715"/>
        <w:gridCol w:w="17"/>
        <w:gridCol w:w="511"/>
        <w:gridCol w:w="10"/>
        <w:gridCol w:w="587"/>
        <w:gridCol w:w="15"/>
        <w:gridCol w:w="506"/>
        <w:gridCol w:w="18"/>
        <w:gridCol w:w="1149"/>
      </w:tblGrid>
      <w:tr>
        <w:tblPrEx>
          <w:tblCellMar>
            <w:top w:w="0" w:type="dxa"/>
            <w:left w:w="28" w:type="dxa"/>
            <w:bottom w:w="0" w:type="dxa"/>
            <w:right w:w="28" w:type="dxa"/>
          </w:tblCellMar>
        </w:tblPrEx>
        <w:trPr>
          <w:trHeight w:val="540" w:hRule="atLeast"/>
        </w:trPr>
        <w:tc>
          <w:tcPr>
            <w:tcW w:w="1859" w:type="pct"/>
            <w:gridSpan w:val="6"/>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募集资金总额</w:t>
            </w:r>
          </w:p>
        </w:tc>
        <w:tc>
          <w:tcPr>
            <w:tcW w:w="935"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94" w:type="pct"/>
            <w:gridSpan w:val="4"/>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本年度投入募集资金总额</w:t>
            </w:r>
          </w:p>
        </w:tc>
        <w:tc>
          <w:tcPr>
            <w:tcW w:w="1412"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cantSplit/>
          <w:trHeight w:val="540" w:hRule="atLeast"/>
        </w:trPr>
        <w:tc>
          <w:tcPr>
            <w:tcW w:w="1859" w:type="pct"/>
            <w:gridSpan w:val="6"/>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报告期内变更用途的募集资金总额</w:t>
            </w:r>
          </w:p>
        </w:tc>
        <w:tc>
          <w:tcPr>
            <w:tcW w:w="935"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794" w:type="pct"/>
            <w:gridSpan w:val="4"/>
            <w:vMerge w:val="restar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已累计投入募集资金总额</w:t>
            </w:r>
          </w:p>
        </w:tc>
        <w:tc>
          <w:tcPr>
            <w:tcW w:w="1412" w:type="pct"/>
            <w:gridSpan w:val="5"/>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cantSplit/>
          <w:trHeight w:val="540" w:hRule="atLeast"/>
        </w:trPr>
        <w:tc>
          <w:tcPr>
            <w:tcW w:w="1859" w:type="pct"/>
            <w:gridSpan w:val="6"/>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累计变更用途的募集资金总额</w:t>
            </w:r>
          </w:p>
        </w:tc>
        <w:tc>
          <w:tcPr>
            <w:tcW w:w="935"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r>
      <w:tr>
        <w:tblPrEx>
          <w:tblCellMar>
            <w:top w:w="0" w:type="dxa"/>
            <w:left w:w="28" w:type="dxa"/>
            <w:bottom w:w="0" w:type="dxa"/>
            <w:right w:w="28" w:type="dxa"/>
          </w:tblCellMar>
        </w:tblPrEx>
        <w:trPr>
          <w:cantSplit/>
          <w:trHeight w:val="540" w:hRule="atLeast"/>
        </w:trPr>
        <w:tc>
          <w:tcPr>
            <w:tcW w:w="1859" w:type="pct"/>
            <w:gridSpan w:val="6"/>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累计变更用途的募集资金总额比例</w:t>
            </w:r>
          </w:p>
        </w:tc>
        <w:tc>
          <w:tcPr>
            <w:tcW w:w="935"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0" w:type="auto"/>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r>
      <w:tr>
        <w:tblPrEx>
          <w:tblCellMar>
            <w:top w:w="0" w:type="dxa"/>
            <w:left w:w="28" w:type="dxa"/>
            <w:bottom w:w="0" w:type="dxa"/>
            <w:right w:w="28" w:type="dxa"/>
          </w:tblCellMar>
        </w:tblPrEx>
        <w:trPr>
          <w:trHeight w:val="1200" w:hRule="atLeast"/>
        </w:trPr>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b/>
                <w:sz w:val="24"/>
                <w:szCs w:val="24"/>
              </w:rPr>
            </w:pPr>
            <w:r>
              <w:rPr>
                <w:rFonts w:hint="eastAsia" w:ascii="仿宋" w:hAnsi="仿宋" w:eastAsia="仿宋"/>
                <w:b/>
                <w:sz w:val="24"/>
                <w:szCs w:val="24"/>
              </w:rPr>
              <w:t>承诺投资项目和超募资金投向</w:t>
            </w:r>
          </w:p>
        </w:tc>
        <w:tc>
          <w:tcPr>
            <w:tcW w:w="346" w:type="pct"/>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是否已变更项目（含部分变更）</w:t>
            </w:r>
          </w:p>
        </w:tc>
        <w:tc>
          <w:tcPr>
            <w:tcW w:w="290" w:type="pct"/>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募集资金承诺投资总额</w:t>
            </w:r>
          </w:p>
        </w:tc>
        <w:tc>
          <w:tcPr>
            <w:tcW w:w="314" w:type="pct"/>
            <w:gridSpan w:val="3"/>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调整后投资总额（1）</w:t>
            </w:r>
          </w:p>
        </w:tc>
        <w:tc>
          <w:tcPr>
            <w:tcW w:w="318" w:type="pct"/>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本年度投入金额</w:t>
            </w:r>
          </w:p>
        </w:tc>
        <w:tc>
          <w:tcPr>
            <w:tcW w:w="316" w:type="pct"/>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截至期末累计投入金额（2）</w:t>
            </w:r>
          </w:p>
        </w:tc>
        <w:tc>
          <w:tcPr>
            <w:tcW w:w="452" w:type="pct"/>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截至期末投资进度（%</w:t>
            </w:r>
            <w:r>
              <w:rPr>
                <w:rFonts w:hint="eastAsia" w:ascii="仿宋" w:hAnsi="仿宋" w:eastAsia="仿宋" w:cs="宋体"/>
                <w:b/>
                <w:sz w:val="24"/>
                <w:szCs w:val="24"/>
              </w:rPr>
              <w:t>）</w:t>
            </w:r>
            <w:r>
              <w:rPr>
                <w:rFonts w:hint="eastAsia" w:ascii="仿宋" w:hAnsi="仿宋" w:eastAsia="仿宋"/>
                <w:b/>
                <w:sz w:val="24"/>
                <w:szCs w:val="24"/>
              </w:rPr>
              <w:t>（3）</w:t>
            </w:r>
            <w:r>
              <w:rPr>
                <w:rFonts w:hint="eastAsia" w:ascii="仿宋" w:hAnsi="仿宋" w:eastAsia="仿宋" w:cs="宋体"/>
                <w:b/>
                <w:sz w:val="24"/>
                <w:szCs w:val="24"/>
              </w:rPr>
              <w:t>＝</w:t>
            </w:r>
            <w:r>
              <w:rPr>
                <w:rFonts w:hint="eastAsia" w:ascii="仿宋" w:hAnsi="仿宋" w:eastAsia="仿宋"/>
                <w:b/>
                <w:sz w:val="24"/>
                <w:szCs w:val="24"/>
              </w:rPr>
              <w:t>（2）/（1）</w:t>
            </w:r>
          </w:p>
        </w:tc>
        <w:tc>
          <w:tcPr>
            <w:tcW w:w="335" w:type="pct"/>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项目达到预定可使用状态日期</w:t>
            </w:r>
          </w:p>
        </w:tc>
        <w:tc>
          <w:tcPr>
            <w:tcW w:w="376" w:type="pct"/>
            <w:gridSpan w:val="2"/>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本年度实现的效益</w:t>
            </w:r>
          </w:p>
        </w:tc>
        <w:tc>
          <w:tcPr>
            <w:tcW w:w="350" w:type="pct"/>
            <w:gridSpan w:val="3"/>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是否达到预计效益</w:t>
            </w:r>
          </w:p>
        </w:tc>
        <w:tc>
          <w:tcPr>
            <w:tcW w:w="698" w:type="pct"/>
            <w:tcBorders>
              <w:top w:val="single" w:color="auto" w:sz="4" w:space="0"/>
              <w:left w:val="single" w:color="auto" w:sz="4" w:space="0"/>
              <w:bottom w:val="single" w:color="auto" w:sz="4" w:space="0"/>
              <w:right w:val="single" w:color="auto" w:sz="4" w:space="0"/>
            </w:tcBorders>
            <w:shd w:val="clear" w:color="auto" w:fill="DCDCDC"/>
          </w:tcPr>
          <w:p>
            <w:pPr>
              <w:rPr>
                <w:rFonts w:ascii="仿宋" w:hAnsi="仿宋" w:eastAsia="仿宋"/>
                <w:b/>
                <w:sz w:val="24"/>
                <w:szCs w:val="24"/>
              </w:rPr>
            </w:pPr>
            <w:r>
              <w:rPr>
                <w:rFonts w:hint="eastAsia" w:ascii="仿宋" w:hAnsi="仿宋" w:eastAsia="仿宋"/>
                <w:b/>
                <w:sz w:val="24"/>
                <w:szCs w:val="24"/>
              </w:rPr>
              <w:t>项目可行性是否发生重大变化</w:t>
            </w:r>
          </w:p>
        </w:tc>
      </w:tr>
      <w:tr>
        <w:tblPrEx>
          <w:tblCellMar>
            <w:top w:w="0" w:type="dxa"/>
            <w:left w:w="28" w:type="dxa"/>
            <w:bottom w:w="0" w:type="dxa"/>
            <w:right w:w="28" w:type="dxa"/>
          </w:tblCellMar>
        </w:tblPrEx>
        <w:trPr>
          <w:trHeight w:val="450" w:hRule="atLeast"/>
        </w:trPr>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承诺投资项目</w:t>
            </w:r>
          </w:p>
        </w:tc>
        <w:tc>
          <w:tcPr>
            <w:tcW w:w="3795" w:type="pct"/>
            <w:gridSpan w:val="19"/>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rPr>
          <w:trHeight w:val="455" w:hRule="atLeast"/>
        </w:trPr>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1．</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4" w:type="pct"/>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6"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0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rPr>
          <w:trHeight w:val="455" w:hRule="atLeast"/>
        </w:trPr>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4" w:type="pct"/>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6"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0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承诺投资项目小计</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4" w:type="pct"/>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8"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6"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05"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超募资金投向</w:t>
            </w:r>
          </w:p>
        </w:tc>
        <w:tc>
          <w:tcPr>
            <w:tcW w:w="3795" w:type="pct"/>
            <w:gridSpan w:val="19"/>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1．</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归还银行贷款（如有）</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补充流动资金（如有）</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w:t>
            </w: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rPr>
          <w:trHeight w:val="330" w:hRule="atLeast"/>
        </w:trPr>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超募资金投向小计</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合计</w:t>
            </w:r>
          </w:p>
        </w:tc>
        <w:tc>
          <w:tcPr>
            <w:tcW w:w="3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5"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29"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6"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470"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7"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93" w:type="pct"/>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314"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717" w:type="pct"/>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未达到计划进度或预计收益的情况和原因（分具体项目）</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项目可行性发生重大变化的情况说明</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超募资金的金额、用途及使用进展情况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募集资金投资项目实施地点变更情况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募集资金投资项目实施方式调整情况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募集资金投资项目先期投入及置换情况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用闲置募集资金暂时补充流动资金情况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用闲置募集资金进行现金管理情况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项目实施出现募集资金节余的金额及原因</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尚未使用的募集资金用途及去向</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c>
          <w:tcPr>
            <w:tcW w:w="1205"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募集资金使用及披露中存在的问题或其他情况</w:t>
            </w:r>
          </w:p>
        </w:tc>
        <w:tc>
          <w:tcPr>
            <w:tcW w:w="3795" w:type="pct"/>
            <w:gridSpan w:val="19"/>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spacing w:line="560" w:lineRule="exact"/>
        <w:rPr>
          <w:rFonts w:ascii="仿宋" w:hAnsi="仿宋" w:eastAsia="仿宋" w:cs="宋体"/>
          <w:sz w:val="32"/>
          <w:szCs w:val="32"/>
        </w:rPr>
      </w:pPr>
      <w:r>
        <w:rPr>
          <w:rFonts w:hint="eastAsia" w:ascii="仿宋" w:hAnsi="仿宋" w:eastAsia="仿宋"/>
          <w:sz w:val="32"/>
          <w:szCs w:val="32"/>
        </w:rPr>
        <w:t xml:space="preserve">       </w:t>
      </w:r>
    </w:p>
    <w:p>
      <w:pPr>
        <w:widowControl/>
        <w:jc w:val="left"/>
        <w:rPr>
          <w:rFonts w:ascii="黑体" w:hAnsi="黑体" w:eastAsia="黑体"/>
          <w:bCs/>
          <w:sz w:val="32"/>
          <w:szCs w:val="32"/>
        </w:rPr>
      </w:pPr>
      <w:r>
        <w:rPr>
          <w:rFonts w:hint="eastAsia" w:ascii="黑体" w:hAnsi="黑体" w:eastAsia="黑体"/>
          <w:bCs/>
          <w:sz w:val="32"/>
          <w:szCs w:val="32"/>
        </w:rPr>
        <w:br w:type="page"/>
      </w:r>
    </w:p>
    <w:p>
      <w:pPr>
        <w:spacing w:line="560" w:lineRule="exact"/>
        <w:rPr>
          <w:rFonts w:ascii="黑体" w:hAnsi="黑体" w:eastAsia="黑体"/>
          <w:bCs/>
          <w:sz w:val="32"/>
          <w:szCs w:val="32"/>
        </w:rPr>
      </w:pPr>
      <w:r>
        <w:rPr>
          <w:rFonts w:hint="eastAsia" w:ascii="黑体" w:hAnsi="黑体" w:eastAsia="黑体"/>
          <w:bCs/>
          <w:sz w:val="32"/>
          <w:szCs w:val="32"/>
        </w:rPr>
        <w:t>附件2</w:t>
      </w:r>
    </w:p>
    <w:p>
      <w:pPr>
        <w:spacing w:line="560" w:lineRule="exact"/>
        <w:ind w:firstLine="480"/>
        <w:jc w:val="center"/>
        <w:rPr>
          <w:rFonts w:ascii="仿宋" w:hAnsi="仿宋" w:eastAsia="仿宋"/>
          <w:sz w:val="44"/>
          <w:szCs w:val="44"/>
        </w:rPr>
      </w:pPr>
      <w:r>
        <w:rPr>
          <w:rFonts w:hint="eastAsia" w:ascii="Times New Roman" w:hAnsi="Times New Roman" w:eastAsia="方正小标宋简体"/>
          <w:bCs/>
          <w:sz w:val="44"/>
          <w:szCs w:val="44"/>
        </w:rPr>
        <w:t>变更募集资金投资项目情况表</w:t>
      </w:r>
    </w:p>
    <w:p>
      <w:pPr>
        <w:spacing w:line="560" w:lineRule="exact"/>
        <w:ind w:firstLine="560"/>
        <w:jc w:val="right"/>
        <w:rPr>
          <w:rFonts w:ascii="仿宋" w:hAnsi="仿宋" w:eastAsia="仿宋"/>
          <w:sz w:val="24"/>
          <w:szCs w:val="24"/>
        </w:rPr>
      </w:pPr>
      <w:r>
        <w:rPr>
          <w:rFonts w:hint="eastAsia" w:ascii="仿宋" w:hAnsi="仿宋" w:eastAsia="仿宋"/>
          <w:sz w:val="24"/>
          <w:szCs w:val="24"/>
        </w:rPr>
        <w:t>　　　                　　　　　　　　单位：万元</w:t>
      </w:r>
    </w:p>
    <w:tbl>
      <w:tblPr>
        <w:tblStyle w:val="59"/>
        <w:tblW w:w="5000" w:type="pct"/>
        <w:tblInd w:w="0" w:type="dxa"/>
        <w:tblLayout w:type="autofit"/>
        <w:tblCellMar>
          <w:top w:w="0" w:type="dxa"/>
          <w:left w:w="28" w:type="dxa"/>
          <w:bottom w:w="0" w:type="dxa"/>
          <w:right w:w="28" w:type="dxa"/>
        </w:tblCellMar>
      </w:tblPr>
      <w:tblGrid>
        <w:gridCol w:w="741"/>
        <w:gridCol w:w="741"/>
        <w:gridCol w:w="741"/>
        <w:gridCol w:w="741"/>
        <w:gridCol w:w="744"/>
        <w:gridCol w:w="1037"/>
        <w:gridCol w:w="918"/>
        <w:gridCol w:w="766"/>
        <w:gridCol w:w="918"/>
        <w:gridCol w:w="1015"/>
      </w:tblGrid>
      <w:tr>
        <w:tblPrEx>
          <w:tblCellMar>
            <w:top w:w="0" w:type="dxa"/>
            <w:left w:w="28" w:type="dxa"/>
            <w:bottom w:w="0" w:type="dxa"/>
            <w:right w:w="28" w:type="dxa"/>
          </w:tblCellMar>
        </w:tblPrEx>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变更后的项目</w:t>
            </w:r>
          </w:p>
        </w:tc>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对应的原承诺项目</w:t>
            </w:r>
          </w:p>
        </w:tc>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变更后项目拟投入募集资金总额（1）</w:t>
            </w:r>
          </w:p>
        </w:tc>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本年度实际投入金额</w:t>
            </w:r>
          </w:p>
        </w:tc>
        <w:tc>
          <w:tcPr>
            <w:tcW w:w="444"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截至期末实际累计投入金额（2）</w:t>
            </w:r>
          </w:p>
        </w:tc>
        <w:tc>
          <w:tcPr>
            <w:tcW w:w="620"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截至期末投资进度（%</w:t>
            </w:r>
            <w:r>
              <w:rPr>
                <w:rFonts w:hint="eastAsia" w:ascii="仿宋" w:hAnsi="仿宋" w:eastAsia="仿宋" w:cs="宋体"/>
                <w:b/>
                <w:sz w:val="24"/>
                <w:szCs w:val="24"/>
              </w:rPr>
              <w:t>）</w:t>
            </w:r>
            <w:r>
              <w:rPr>
                <w:rFonts w:hint="eastAsia" w:ascii="仿宋" w:hAnsi="仿宋" w:eastAsia="仿宋"/>
                <w:b/>
                <w:sz w:val="24"/>
                <w:szCs w:val="24"/>
              </w:rPr>
              <w:t>（3）=（2）/（1）</w:t>
            </w:r>
          </w:p>
        </w:tc>
        <w:tc>
          <w:tcPr>
            <w:tcW w:w="549"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项目达到预定可使用状态日期</w:t>
            </w:r>
          </w:p>
        </w:tc>
        <w:tc>
          <w:tcPr>
            <w:tcW w:w="458"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本年度实现的效益</w:t>
            </w:r>
          </w:p>
        </w:tc>
        <w:tc>
          <w:tcPr>
            <w:tcW w:w="549"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是否达到预计效益</w:t>
            </w:r>
          </w:p>
        </w:tc>
        <w:tc>
          <w:tcPr>
            <w:tcW w:w="608" w:type="pct"/>
            <w:tcBorders>
              <w:top w:val="single" w:color="auto" w:sz="4" w:space="0"/>
              <w:left w:val="single" w:color="auto" w:sz="4" w:space="0"/>
              <w:bottom w:val="single" w:color="auto" w:sz="4" w:space="0"/>
              <w:right w:val="single" w:color="auto" w:sz="4" w:space="0"/>
            </w:tcBorders>
            <w:shd w:val="clear" w:color="auto" w:fill="DCDCDC"/>
            <w:vAlign w:val="center"/>
          </w:tcPr>
          <w:p>
            <w:pPr>
              <w:jc w:val="center"/>
              <w:rPr>
                <w:rFonts w:ascii="仿宋" w:hAnsi="仿宋" w:eastAsia="仿宋"/>
                <w:b/>
                <w:sz w:val="24"/>
                <w:szCs w:val="24"/>
              </w:rPr>
            </w:pPr>
            <w:r>
              <w:rPr>
                <w:rFonts w:hint="eastAsia" w:ascii="仿宋" w:hAnsi="仿宋" w:eastAsia="仿宋"/>
                <w:b/>
                <w:sz w:val="24"/>
                <w:szCs w:val="24"/>
              </w:rPr>
              <w:t>变更后的项目可行性是否发生重大变化</w:t>
            </w:r>
          </w:p>
        </w:tc>
      </w:tr>
      <w:tr>
        <w:tblPrEx>
          <w:tblCellMar>
            <w:top w:w="0" w:type="dxa"/>
            <w:left w:w="28" w:type="dxa"/>
            <w:bottom w:w="0" w:type="dxa"/>
            <w:right w:w="28" w:type="dxa"/>
          </w:tblCellMar>
        </w:tblPrEx>
        <w:trPr>
          <w:trHeight w:val="600" w:hRule="atLeast"/>
        </w:trPr>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trHeight w:val="600" w:hRule="atLeast"/>
        </w:trPr>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trHeight w:val="600" w:hRule="atLeast"/>
        </w:trPr>
        <w:tc>
          <w:tcPr>
            <w:tcW w:w="443" w:type="pct"/>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合计</w:t>
            </w: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44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2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45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60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r>
      <w:tr>
        <w:tblPrEx>
          <w:tblCellMar>
            <w:top w:w="0" w:type="dxa"/>
            <w:left w:w="28" w:type="dxa"/>
            <w:bottom w:w="0" w:type="dxa"/>
            <w:right w:w="28" w:type="dxa"/>
          </w:tblCellMar>
        </w:tblPrEx>
        <w:trPr>
          <w:trHeight w:val="1226" w:hRule="atLeast"/>
        </w:trPr>
        <w:tc>
          <w:tcPr>
            <w:tcW w:w="2217" w:type="pct"/>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变更原因、决策程序及信息披露情况说明（分具体项目）</w:t>
            </w:r>
          </w:p>
        </w:tc>
        <w:tc>
          <w:tcPr>
            <w:tcW w:w="2783"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trHeight w:val="1087" w:hRule="atLeast"/>
        </w:trPr>
        <w:tc>
          <w:tcPr>
            <w:tcW w:w="2217" w:type="pct"/>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未达到计划进度或预计收益的情况和原因（分具体项目）</w:t>
            </w:r>
          </w:p>
        </w:tc>
        <w:tc>
          <w:tcPr>
            <w:tcW w:w="2783"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CellMar>
            <w:top w:w="0" w:type="dxa"/>
            <w:left w:w="28" w:type="dxa"/>
            <w:bottom w:w="0" w:type="dxa"/>
            <w:right w:w="28" w:type="dxa"/>
          </w:tblCellMar>
        </w:tblPrEx>
        <w:trPr>
          <w:trHeight w:val="1073" w:hRule="atLeast"/>
        </w:trPr>
        <w:tc>
          <w:tcPr>
            <w:tcW w:w="2217" w:type="pct"/>
            <w:gridSpan w:val="5"/>
            <w:tcBorders>
              <w:top w:val="single" w:color="auto" w:sz="4" w:space="0"/>
              <w:left w:val="single" w:color="auto" w:sz="4" w:space="0"/>
              <w:bottom w:val="single" w:color="auto" w:sz="4" w:space="0"/>
              <w:right w:val="single" w:color="auto" w:sz="4" w:space="0"/>
            </w:tcBorders>
            <w:shd w:val="clear" w:color="auto" w:fill="DCDCDC"/>
            <w:vAlign w:val="center"/>
          </w:tcPr>
          <w:p>
            <w:pPr>
              <w:rPr>
                <w:rFonts w:ascii="仿宋" w:hAnsi="仿宋" w:eastAsia="仿宋"/>
                <w:sz w:val="24"/>
                <w:szCs w:val="24"/>
              </w:rPr>
            </w:pPr>
            <w:r>
              <w:rPr>
                <w:rFonts w:hint="eastAsia" w:ascii="仿宋" w:hAnsi="仿宋" w:eastAsia="仿宋"/>
                <w:sz w:val="24"/>
                <w:szCs w:val="24"/>
              </w:rPr>
              <w:t>变更后的项目可行性发生重大变化的情况说明</w:t>
            </w:r>
          </w:p>
        </w:tc>
        <w:tc>
          <w:tcPr>
            <w:tcW w:w="2783" w:type="pct"/>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ind w:firstLine="480" w:firstLineChars="200"/>
        <w:rPr>
          <w:rFonts w:ascii="仿宋" w:hAnsi="仿宋" w:eastAsia="仿宋"/>
          <w:sz w:val="24"/>
          <w:szCs w:val="24"/>
        </w:rPr>
      </w:pPr>
      <w:r>
        <w:rPr>
          <w:rFonts w:hint="eastAsia" w:ascii="仿宋" w:hAnsi="仿宋" w:eastAsia="仿宋"/>
          <w:sz w:val="24"/>
          <w:szCs w:val="24"/>
        </w:rPr>
        <w:t>注：“本年度实现的效益”的计算口径、计算方法应与承诺效益的计算口径、计算方法一致。</w:t>
      </w:r>
    </w:p>
    <w:p>
      <w:pPr>
        <w:keepNext/>
        <w:keepLines/>
        <w:spacing w:before="340" w:line="560" w:lineRule="exact"/>
        <w:jc w:val="center"/>
        <w:outlineLvl w:val="2"/>
        <w:rPr>
          <w:rFonts w:ascii="方正小标宋简体" w:hAnsi="仿宋" w:eastAsia="方正小标宋简体"/>
          <w:kern w:val="44"/>
          <w:sz w:val="44"/>
          <w:szCs w:val="44"/>
        </w:rPr>
      </w:pPr>
      <w:r>
        <w:rPr>
          <w:rFonts w:ascii="Times New Roman" w:hAnsi="Times New Roman" w:eastAsia="仿宋"/>
          <w:sz w:val="32"/>
          <w:szCs w:val="32"/>
        </w:rPr>
        <w:br w:type="page"/>
      </w:r>
      <w:bookmarkStart w:id="402" w:name="_Toc40795917"/>
      <w:bookmarkStart w:id="403" w:name="_Toc15391893"/>
      <w:bookmarkStart w:id="404" w:name="_Toc138173248"/>
      <w:bookmarkStart w:id="405" w:name="_Toc91607661"/>
      <w:bookmarkStart w:id="406" w:name="_Toc20123"/>
      <w:bookmarkStart w:id="407" w:name="_Toc40813189"/>
      <w:bookmarkStart w:id="408" w:name="_Toc91782459"/>
      <w:bookmarkStart w:id="409" w:name="_Toc60758259"/>
      <w:bookmarkStart w:id="410" w:name="_Toc91781178"/>
      <w:r>
        <w:rPr>
          <w:rFonts w:hint="eastAsia" w:ascii="方正小标宋简体" w:hAnsi="仿宋" w:eastAsia="方正小标宋简体"/>
          <w:kern w:val="44"/>
          <w:sz w:val="44"/>
          <w:szCs w:val="44"/>
        </w:rPr>
        <w:t>再融资类第３号　上市公司变更</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募集资金用途</w:t>
      </w:r>
      <w:bookmarkEnd w:id="402"/>
      <w:bookmarkEnd w:id="403"/>
      <w:r>
        <w:rPr>
          <w:rFonts w:hint="eastAsia" w:ascii="方正小标宋简体" w:hAnsi="仿宋" w:eastAsia="方正小标宋简体"/>
          <w:kern w:val="44"/>
          <w:sz w:val="44"/>
          <w:szCs w:val="44"/>
        </w:rPr>
        <w:t>公告格式</w:t>
      </w:r>
      <w:bookmarkEnd w:id="404"/>
      <w:bookmarkEnd w:id="405"/>
      <w:bookmarkEnd w:id="406"/>
      <w:bookmarkEnd w:id="407"/>
      <w:bookmarkEnd w:id="408"/>
      <w:bookmarkEnd w:id="409"/>
      <w:bookmarkEnd w:id="410"/>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firstLine="614" w:firstLineChars="192"/>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XXXXXX股份有限公司变更募集资金用途公告</w:t>
      </w:r>
    </w:p>
    <w:p>
      <w:pPr>
        <w:tabs>
          <w:tab w:val="left" w:pos="1260"/>
        </w:tabs>
        <w:spacing w:line="560" w:lineRule="exact"/>
        <w:ind w:firstLine="689"/>
        <w:rPr>
          <w:rFonts w:ascii="仿宋" w:hAnsi="仿宋" w:eastAsia="仿宋"/>
          <w:kern w:val="0"/>
          <w:sz w:val="32"/>
          <w:szCs w:val="32"/>
        </w:rPr>
      </w:pPr>
      <w:r>
        <w:rPr>
          <w:rFonts w:hint="eastAsia"/>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101600</wp:posOffset>
                </wp:positionV>
                <wp:extent cx="5915025" cy="1628775"/>
                <wp:effectExtent l="0" t="0" r="28575" b="2857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pt;height:128.25pt;width:465.75pt;mso-position-horizontal:center;mso-position-horizontal-relative:margin;z-index:251696128;mso-width-relative:page;mso-height-relative:page;" fillcolor="#FFFFFF" filled="t" stroked="t" coordsize="21600,21600" o:gfxdata="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u6Y8vWAAAABwEAAA8AAAAAAAAAAQAgAAAAIgAAAGRycy9kb3ducmV2&#10;LnhtbFBLAQIUABQAAAAIAIdO4kBY0HNy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260"/>
        </w:tabs>
        <w:spacing w:line="560" w:lineRule="exact"/>
        <w:ind w:firstLine="689"/>
        <w:rPr>
          <w:rFonts w:ascii="仿宋" w:hAnsi="仿宋" w:eastAsia="仿宋"/>
          <w:kern w:val="0"/>
          <w:sz w:val="32"/>
          <w:szCs w:val="32"/>
        </w:rPr>
      </w:pPr>
    </w:p>
    <w:p>
      <w:pPr>
        <w:tabs>
          <w:tab w:val="left" w:pos="1260"/>
        </w:tabs>
        <w:spacing w:line="560" w:lineRule="exact"/>
        <w:ind w:firstLine="689"/>
        <w:rPr>
          <w:rFonts w:ascii="仿宋" w:hAnsi="仿宋" w:eastAsia="仿宋"/>
          <w:kern w:val="0"/>
          <w:sz w:val="32"/>
          <w:szCs w:val="32"/>
        </w:rPr>
      </w:pPr>
    </w:p>
    <w:p>
      <w:pPr>
        <w:tabs>
          <w:tab w:val="left" w:pos="1260"/>
        </w:tabs>
        <w:spacing w:line="560" w:lineRule="exact"/>
        <w:ind w:firstLine="689"/>
        <w:rPr>
          <w:rFonts w:ascii="仿宋" w:hAnsi="仿宋" w:eastAsia="仿宋"/>
          <w:b/>
          <w:sz w:val="32"/>
          <w:szCs w:val="32"/>
        </w:rPr>
      </w:pPr>
    </w:p>
    <w:p>
      <w:pPr>
        <w:tabs>
          <w:tab w:val="left" w:pos="1260"/>
        </w:tabs>
        <w:spacing w:line="560" w:lineRule="exact"/>
        <w:ind w:firstLine="480"/>
        <w:rPr>
          <w:rFonts w:ascii="仿宋" w:hAnsi="仿宋" w:eastAsia="仿宋"/>
          <w:b/>
          <w:sz w:val="32"/>
          <w:szCs w:val="32"/>
        </w:rPr>
      </w:pPr>
    </w:p>
    <w:p>
      <w:pPr>
        <w:tabs>
          <w:tab w:val="left" w:pos="126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一、变更募集资金投资项目的概述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简要介绍募集资金的使用方式、募集时间、募集金额、拟变更项目的名称、变更项目涉及的总金额及其占总筹资额的比例、已投入金额、新项目的名称和拟投入的金额，是否构成关联交易等。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简要说明董事会审议变更募集资金投资项目议案的表决情况及结果，提示本议案尚需提交股东大会审议。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新项目投资需向国家有关部门履行报批或备案程序的，应说明是否已履行有关程序。</w:t>
      </w:r>
    </w:p>
    <w:p>
      <w:pPr>
        <w:tabs>
          <w:tab w:val="left" w:pos="126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二、变更募集资金投资项目的原因</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（一）原募投项目计划和实际投资情况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简要说明原募投项目计划投资情况，包括原募投项目立项批准时间、项目实施主体、拟投入金额、资金投入明细构成、计划投入进度、计划建成时间和预计效益等。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原募投项目实际投资情况，包括实际实施主体、累计已投入金额、实际投入明细构成、项目建设进度、投资成效（如新增产能或实现的经济效益）、未使用募集资金余额及专户存储情况、项目建设已形成资产的后续使用安排等。</w:t>
      </w:r>
    </w:p>
    <w:p>
      <w:pPr>
        <w:widowControl/>
        <w:jc w:val="left"/>
        <w:rPr>
          <w:rFonts w:ascii="仿宋" w:hAnsi="仿宋" w:eastAsia="仿宋"/>
          <w:b/>
          <w:sz w:val="32"/>
          <w:szCs w:val="32"/>
        </w:rPr>
        <w:sectPr>
          <w:pgSz w:w="11906" w:h="16838"/>
          <w:pgMar w:top="1440" w:right="1800" w:bottom="1440" w:left="1800" w:header="851" w:footer="992" w:gutter="0"/>
          <w:cols w:space="720" w:num="1"/>
          <w:docGrid w:type="lines" w:linePitch="312" w:charSpace="0"/>
        </w:sectPr>
      </w:pP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（二）终止原募投项目的原因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变更原因进行分析，说明当时确定原募投项目的原因、影响原项目可行性的主要因素发生的重大变化、项目实施存在的具体困难以及按原计划投入是否能够达到预期目标。对影响原项目可行性的主要因素的重大变化的说明，应提供有说服力的背景、依据和数据。</w:t>
      </w:r>
    </w:p>
    <w:p>
      <w:pPr>
        <w:tabs>
          <w:tab w:val="left" w:pos="126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三、新募投项目情况说明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应说明新项目的基本情况、投资计划、可行性分析、经济效益分析等内容。如涉及将原投资项目改变为合资经营方式实施的，应说明合资的必要性及是否控股等情况。</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（一）项目基本情况和投资计划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应说明项目投资概算、预计投资规模、项目资金的具体用途（包括用于购置设备、土地使用权、技术以及补充流动资金等方面的具体支出等）、分年度投资计划等。</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（二）项目可行性分析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1．项目的背景情况，如所在行业的发展趋势、产品竞争情况、项目新增产能的市场前景等；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2．投资项目的选址、拟占用土地的面积、取得方式及土地用途；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3．项目实施面临的风险及应对措施，如项目因市场、技</w:t>
      </w:r>
    </w:p>
    <w:p>
      <w:pPr>
        <w:widowControl/>
        <w:jc w:val="left"/>
        <w:rPr>
          <w:rFonts w:ascii="仿宋" w:hAnsi="仿宋" w:eastAsia="仿宋"/>
          <w:sz w:val="32"/>
          <w:szCs w:val="32"/>
        </w:rPr>
        <w:sectPr>
          <w:type w:val="continuous"/>
          <w:pgSz w:w="11906" w:h="16838"/>
          <w:pgMar w:top="1440" w:right="1800" w:bottom="1440" w:left="1800" w:header="851" w:footer="992" w:gutter="0"/>
          <w:cols w:space="720" w:num="1"/>
          <w:docGrid w:type="lines" w:linePitch="312" w:charSpace="0"/>
        </w:sectPr>
      </w:pPr>
    </w:p>
    <w:p>
      <w:pPr>
        <w:spacing w:line="560" w:lineRule="exact"/>
        <w:rPr>
          <w:rFonts w:ascii="仿宋" w:hAnsi="仿宋" w:eastAsia="仿宋"/>
          <w:sz w:val="32"/>
          <w:szCs w:val="32"/>
        </w:rPr>
      </w:pPr>
      <w:r>
        <w:rPr>
          <w:rFonts w:hint="eastAsia" w:ascii="仿宋" w:hAnsi="仿宋" w:eastAsia="仿宋"/>
          <w:sz w:val="32"/>
          <w:szCs w:val="32"/>
        </w:rPr>
        <w:t>术、环保、财务等因素引致的风险，股权投资及与他人合作的风险，项目管理和组织实施的风险等，以及拟采取的措施。</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（三）项目经济效益分析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项目能独立核算的，应说明预计达产时间和经济效益（包括产品产量、收入、净利润、投资回收期、预计收益率等）；项目不能独立核算的，应分析项目对上市公司财务状况及经营成果的影响。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如用于对外投资，结合“上市公司对外（含委托）投资公告格式”的要求披露。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如用于收购企业，结合“上市公司购买、出售资产公告格式”的要求披露。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如果投资新募投项目构成关联交易，董事会应发布专门的关联交易公告或在本公告中披露“上市公司关联交易公告格式”要求的内容。</w:t>
      </w:r>
    </w:p>
    <w:p>
      <w:pPr>
        <w:tabs>
          <w:tab w:val="left" w:pos="1260"/>
        </w:tabs>
        <w:spacing w:line="560" w:lineRule="exact"/>
        <w:ind w:firstLine="643" w:firstLineChars="200"/>
        <w:rPr>
          <w:rFonts w:ascii="仿宋" w:hAnsi="仿宋" w:eastAsia="仿宋"/>
          <w:b/>
          <w:sz w:val="32"/>
          <w:szCs w:val="32"/>
        </w:rPr>
      </w:pPr>
      <w:r>
        <w:rPr>
          <w:rFonts w:hint="eastAsia" w:ascii="仿宋" w:hAnsi="仿宋" w:eastAsia="仿宋"/>
          <w:b/>
          <w:sz w:val="32"/>
          <w:szCs w:val="32"/>
        </w:rPr>
        <w:t>四、监事会、保荐人或独立财务顾问（如适用）对变更募投项目的意见</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分别说明监事会、保荐人或独立财务顾问（如适用）对变更募投项目的结论性意见。</w:t>
      </w:r>
    </w:p>
    <w:p>
      <w:pPr>
        <w:tabs>
          <w:tab w:val="left" w:pos="126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五、备查文件</w:t>
      </w:r>
    </w:p>
    <w:p>
      <w:pPr>
        <w:tabs>
          <w:tab w:val="left" w:pos="0"/>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w:t>
      </w:r>
    </w:p>
    <w:p>
      <w:pPr>
        <w:tabs>
          <w:tab w:val="left" w:pos="0"/>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2．监事会意见；</w:t>
      </w:r>
    </w:p>
    <w:p>
      <w:pPr>
        <w:tabs>
          <w:tab w:val="left" w:pos="0"/>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3．保荐人或独立财务顾问意见（如适用）；</w:t>
      </w:r>
    </w:p>
    <w:p>
      <w:pPr>
        <w:tabs>
          <w:tab w:val="left" w:pos="0"/>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4．新项目的可行性研究报告；</w:t>
      </w:r>
    </w:p>
    <w:p>
      <w:pPr>
        <w:tabs>
          <w:tab w:val="left" w:pos="0"/>
          <w:tab w:val="left" w:pos="126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5．有关部门的批文（如有）；</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6．深交所要求的其他文件。</w:t>
      </w:r>
    </w:p>
    <w:p>
      <w:pPr>
        <w:snapToGrid w:val="0"/>
        <w:spacing w:line="560" w:lineRule="exact"/>
        <w:ind w:firstLine="640" w:firstLineChars="200"/>
        <w:rPr>
          <w:rFonts w:ascii="仿宋" w:hAnsi="仿宋" w:eastAsia="仿宋"/>
          <w:sz w:val="32"/>
          <w:szCs w:val="32"/>
        </w:rPr>
      </w:pPr>
    </w:p>
    <w:p>
      <w:pPr>
        <w:spacing w:line="560" w:lineRule="exact"/>
        <w:ind w:left="4250"/>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411" w:name="_Toc430016299"/>
      <w:bookmarkStart w:id="412" w:name="_Toc527123149"/>
      <w:bookmarkStart w:id="413" w:name="_Toc40795943"/>
      <w:bookmarkStart w:id="414" w:name="_Toc7641"/>
      <w:bookmarkStart w:id="415" w:name="_Toc91782460"/>
      <w:bookmarkStart w:id="416" w:name="_Toc40813214"/>
      <w:bookmarkStart w:id="417" w:name="_Toc91781179"/>
      <w:bookmarkStart w:id="418" w:name="_Toc91607662"/>
      <w:bookmarkStart w:id="419" w:name="_Toc138173249"/>
      <w:bookmarkStart w:id="420" w:name="_Toc60758284"/>
      <w:r>
        <w:rPr>
          <w:rFonts w:hint="eastAsia" w:ascii="方正小标宋简体" w:hAnsi="仿宋" w:eastAsia="方正小标宋简体"/>
          <w:kern w:val="44"/>
          <w:sz w:val="44"/>
          <w:szCs w:val="44"/>
        </w:rPr>
        <w:t>再融资类第４号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可转债赎回实施</w:t>
      </w:r>
      <w:bookmarkEnd w:id="411"/>
      <w:bookmarkEnd w:id="412"/>
      <w:bookmarkEnd w:id="413"/>
      <w:r>
        <w:rPr>
          <w:rFonts w:hint="eastAsia" w:ascii="方正小标宋简体" w:hAnsi="仿宋" w:eastAsia="方正小标宋简体"/>
          <w:kern w:val="44"/>
          <w:sz w:val="44"/>
          <w:szCs w:val="44"/>
        </w:rPr>
        <w:t>公告格式</w:t>
      </w:r>
      <w:bookmarkEnd w:id="414"/>
      <w:bookmarkEnd w:id="415"/>
      <w:bookmarkEnd w:id="416"/>
      <w:bookmarkEnd w:id="417"/>
      <w:bookmarkEnd w:id="418"/>
      <w:bookmarkEnd w:id="419"/>
      <w:bookmarkEnd w:id="420"/>
    </w:p>
    <w:p>
      <w:pPr>
        <w:autoSpaceDE w:val="0"/>
        <w:autoSpaceDN w:val="0"/>
        <w:adjustRightInd w:val="0"/>
        <w:spacing w:line="560" w:lineRule="exact"/>
        <w:rPr>
          <w:rFonts w:ascii="仿宋" w:hAnsi="仿宋" w:eastAsia="仿宋"/>
          <w:b/>
          <w:kern w:val="44"/>
          <w:sz w:val="32"/>
          <w:szCs w:val="32"/>
        </w:rPr>
      </w:pPr>
    </w:p>
    <w:p>
      <w:pPr>
        <w:autoSpaceDE w:val="0"/>
        <w:autoSpaceDN w:val="0"/>
        <w:adjustRightInd w:val="0"/>
        <w:spacing w:line="560" w:lineRule="exact"/>
        <w:ind w:left="322" w:firstLine="128" w:firstLineChars="40"/>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firstLine="560" w:firstLineChars="175"/>
        <w:rPr>
          <w:rFonts w:ascii="仿宋" w:hAnsi="仿宋" w:eastAsia="仿宋"/>
          <w:sz w:val="32"/>
          <w:szCs w:val="32"/>
        </w:rPr>
      </w:pPr>
      <w:r>
        <w:rPr>
          <w:rFonts w:hint="eastAsia" w:ascii="仿宋" w:hAnsi="仿宋" w:eastAsia="仿宋"/>
          <w:sz w:val="32"/>
          <w:szCs w:val="32"/>
        </w:rPr>
        <w:t>转债代码：         转债简称：</w:t>
      </w: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XXXXXX股份有限公司可转债赎回实施公告</w:t>
      </w:r>
    </w:p>
    <w:p>
      <w:pPr>
        <w:spacing w:line="560" w:lineRule="exact"/>
        <w:ind w:firstLine="480"/>
        <w:rPr>
          <w:rFonts w:ascii="仿宋" w:hAnsi="仿宋" w:eastAsia="仿宋"/>
          <w:sz w:val="32"/>
          <w:szCs w:val="32"/>
        </w:rPr>
      </w:pPr>
      <w:r>
        <w:rPr>
          <w:rFonts w:hint="eastAsia"/>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79375</wp:posOffset>
                </wp:positionV>
                <wp:extent cx="5915025" cy="1628775"/>
                <wp:effectExtent l="0" t="0" r="28575" b="2857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6.25pt;height:128.25pt;width:465.75pt;mso-position-horizontal:center;mso-position-horizontal-relative:margin;z-index:251697152;mso-width-relative:page;mso-height-relative:page;" fillcolor="#FFFFFF" filled="t" stroked="t" coordsize="21600,21600" o:gfxdata="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yTUu3WAAAABwEAAA8AAAAAAAAAAQAgAAAAIgAAAGRycy9kb3ducmV2&#10;LnhtbFBLAQIUABQAAAAIAIdO4kAl9swv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pacing w:line="560" w:lineRule="exact"/>
        <w:ind w:firstLine="480"/>
        <w:rPr>
          <w:rFonts w:ascii="仿宋" w:hAnsi="仿宋" w:eastAsia="仿宋"/>
          <w:sz w:val="32"/>
          <w:szCs w:val="32"/>
        </w:rPr>
      </w:pPr>
    </w:p>
    <w:p>
      <w:pPr>
        <w:spacing w:line="560" w:lineRule="exact"/>
        <w:ind w:firstLine="480"/>
        <w:rPr>
          <w:rFonts w:ascii="仿宋" w:hAnsi="仿宋" w:eastAsia="仿宋"/>
          <w:sz w:val="32"/>
          <w:szCs w:val="32"/>
        </w:rPr>
      </w:pPr>
    </w:p>
    <w:p>
      <w:pPr>
        <w:spacing w:line="560" w:lineRule="exact"/>
        <w:ind w:firstLine="480"/>
        <w:rPr>
          <w:rFonts w:ascii="仿宋" w:hAnsi="仿宋" w:eastAsia="仿宋"/>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1．可转债赎回日：XXXX年XX月XX日；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2．可转债赎回价格：XXX元/张（是否含息税）。</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3．可转债赎回资金到账日：XXXX年XX月XX日。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4．可转债停止交易和转股日：XXXX年XX月XX日。</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5．根据安排，截至XXXX年XX月XX日收市后仍未转股的XX转债，将被强制赎回，特提醒XX转债持券人注意在限期内转股。</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一、赎回情况概述</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1．触发赎回情形:简要说明导致可转债赎回条件满足的情况；</w:t>
      </w:r>
    </w:p>
    <w:p>
      <w:pPr>
        <w:widowControl/>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2．赎回条款：说明《可转债募集说明书》相关赎回条款所约定的赎回条件。</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二、赎回实施安排</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1．赎回价格（是否含息税）及赎回价格的确定依据。</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2．赎回对象。</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3．赎回程序及时间安排。</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说明赎回日及停止交易和转股的安排事宜。</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说明赎回资金到账日，包括本次赎回资金划款时间、划账方式等安排事宜。</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4、其他事宜</w:t>
      </w:r>
    </w:p>
    <w:p>
      <w:pPr>
        <w:widowControl/>
        <w:spacing w:line="560" w:lineRule="exact"/>
        <w:ind w:firstLine="627" w:firstLineChars="196"/>
        <w:rPr>
          <w:rFonts w:ascii="仿宋" w:hAnsi="仿宋" w:eastAsia="仿宋"/>
          <w:kern w:val="0"/>
          <w:sz w:val="32"/>
          <w:szCs w:val="32"/>
        </w:rPr>
      </w:pPr>
      <w:r>
        <w:rPr>
          <w:rFonts w:hint="eastAsia" w:ascii="仿宋" w:hAnsi="仿宋" w:eastAsia="仿宋"/>
          <w:kern w:val="0"/>
          <w:sz w:val="32"/>
          <w:szCs w:val="32"/>
        </w:rPr>
        <w:t xml:space="preserve">说明本次赎回的公告安排、联系人、联系方式等事宜。 </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三、其他需说明的事项</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四、备查文件</w:t>
      </w:r>
    </w:p>
    <w:p>
      <w:pPr>
        <w:spacing w:line="560" w:lineRule="exact"/>
        <w:ind w:firstLine="4160"/>
        <w:jc w:val="right"/>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b/>
          <w:kern w:val="44"/>
          <w:sz w:val="32"/>
          <w:szCs w:val="32"/>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21" w:name="_Toc510444142"/>
      <w:bookmarkStart w:id="422" w:name="_Toc527123150"/>
      <w:bookmarkStart w:id="423" w:name="_Toc15391919"/>
      <w:bookmarkStart w:id="424" w:name="_Toc2189144"/>
      <w:bookmarkStart w:id="425" w:name="_Toc40795944"/>
      <w:bookmarkStart w:id="426" w:name="_Toc2179927"/>
      <w:bookmarkStart w:id="427" w:name="_Toc430016300"/>
      <w:bookmarkStart w:id="428" w:name="_Toc2189911"/>
      <w:bookmarkStart w:id="429" w:name="_Toc2348655"/>
      <w:bookmarkStart w:id="430" w:name="_Toc12465"/>
      <w:bookmarkStart w:id="431" w:name="_Toc91782461"/>
      <w:bookmarkStart w:id="432" w:name="_Toc60758285"/>
      <w:bookmarkStart w:id="433" w:name="_Toc40813215"/>
      <w:bookmarkStart w:id="434" w:name="_Toc91781180"/>
      <w:bookmarkStart w:id="435" w:name="_Toc138173250"/>
      <w:bookmarkStart w:id="436" w:name="_Toc91607663"/>
      <w:r>
        <w:rPr>
          <w:rFonts w:hint="eastAsia" w:ascii="方正小标宋简体" w:hAnsi="仿宋" w:eastAsia="方正小标宋简体"/>
          <w:kern w:val="44"/>
          <w:sz w:val="44"/>
          <w:szCs w:val="44"/>
        </w:rPr>
        <w:t>再融资类第５号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可转债赎回结果</w:t>
      </w:r>
      <w:bookmarkEnd w:id="421"/>
      <w:bookmarkEnd w:id="422"/>
      <w:bookmarkEnd w:id="423"/>
      <w:bookmarkEnd w:id="424"/>
      <w:bookmarkEnd w:id="425"/>
      <w:bookmarkEnd w:id="426"/>
      <w:bookmarkEnd w:id="427"/>
      <w:bookmarkEnd w:id="428"/>
      <w:bookmarkEnd w:id="429"/>
      <w:r>
        <w:rPr>
          <w:rFonts w:hint="eastAsia" w:ascii="方正小标宋简体" w:hAnsi="仿宋" w:eastAsia="方正小标宋简体"/>
          <w:kern w:val="44"/>
          <w:sz w:val="44"/>
          <w:szCs w:val="44"/>
        </w:rPr>
        <w:t>公告格式</w:t>
      </w:r>
      <w:bookmarkEnd w:id="430"/>
      <w:bookmarkEnd w:id="431"/>
      <w:bookmarkEnd w:id="432"/>
      <w:bookmarkEnd w:id="433"/>
      <w:bookmarkEnd w:id="434"/>
      <w:bookmarkEnd w:id="435"/>
      <w:bookmarkEnd w:id="436"/>
    </w:p>
    <w:p>
      <w:pPr>
        <w:spacing w:line="560" w:lineRule="exact"/>
        <w:rPr>
          <w:rFonts w:ascii="仿宋" w:hAnsi="仿宋" w:eastAsia="仿宋"/>
          <w:b/>
          <w:kern w:val="44"/>
          <w:sz w:val="32"/>
          <w:szCs w:val="32"/>
        </w:rPr>
      </w:pP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证券代码：        证券简称：        公告编号：</w:t>
      </w:r>
    </w:p>
    <w:p>
      <w:pPr>
        <w:autoSpaceDE w:val="0"/>
        <w:autoSpaceDN w:val="0"/>
        <w:adjustRightInd w:val="0"/>
        <w:spacing w:line="560" w:lineRule="exact"/>
        <w:ind w:left="360"/>
        <w:jc w:val="center"/>
        <w:rPr>
          <w:rFonts w:ascii="仿宋" w:hAnsi="仿宋" w:eastAsia="仿宋"/>
          <w:sz w:val="32"/>
          <w:szCs w:val="32"/>
        </w:rPr>
      </w:pPr>
      <w:r>
        <w:rPr>
          <w:rFonts w:hint="eastAsia" w:ascii="仿宋" w:hAnsi="仿宋" w:eastAsia="仿宋"/>
          <w:sz w:val="32"/>
          <w:szCs w:val="32"/>
        </w:rPr>
        <w:t>XXXXXX股份有限公司可转债赎回结果公告</w:t>
      </w:r>
    </w:p>
    <w:p>
      <w:pPr>
        <w:widowControl/>
        <w:spacing w:line="560" w:lineRule="exact"/>
        <w:ind w:left="658"/>
        <w:rPr>
          <w:rFonts w:ascii="仿宋" w:hAnsi="仿宋" w:eastAsia="仿宋" w:cs="宋体"/>
          <w:kern w:val="0"/>
          <w:sz w:val="32"/>
          <w:szCs w:val="32"/>
        </w:rPr>
      </w:pPr>
      <w:r>
        <w:rPr>
          <w:rFonts w:hint="eastAsia"/>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101600</wp:posOffset>
                </wp:positionV>
                <wp:extent cx="5915025" cy="1628775"/>
                <wp:effectExtent l="0" t="0" r="28575" b="2857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8pt;height:128.25pt;width:465.75pt;mso-position-horizontal:center;mso-position-horizontal-relative:margin;z-index:251698176;mso-width-relative:page;mso-height-relative:page;" fillcolor="#FFFFFF" filled="t" stroked="t" coordsize="21600,21600" o:gfxdata="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umPL1gAAAAcBAAAPAAAAAAAAAAEAIAAAACIAAABkcnMvZG93bnJldi54&#10;bWxQSwECFAAUAAAACACHTuJAopwNyTUCAAB9BAAADgAAAAAAAAABACAAAAAlAQAAZHJzL2Uyb0Rv&#10;Yy54bWxQSwUGAAAAAAYABgBZAQAAzAU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left="658"/>
        <w:rPr>
          <w:rFonts w:ascii="仿宋" w:hAnsi="仿宋" w:eastAsia="仿宋" w:cs="宋体"/>
          <w:kern w:val="0"/>
          <w:sz w:val="32"/>
          <w:szCs w:val="32"/>
        </w:rPr>
      </w:pPr>
    </w:p>
    <w:p>
      <w:pPr>
        <w:widowControl/>
        <w:spacing w:line="560" w:lineRule="exact"/>
        <w:ind w:left="658"/>
        <w:rPr>
          <w:rFonts w:ascii="仿宋" w:hAnsi="仿宋" w:eastAsia="仿宋" w:cs="宋体"/>
          <w:kern w:val="0"/>
          <w:sz w:val="32"/>
          <w:szCs w:val="32"/>
        </w:rPr>
      </w:pPr>
    </w:p>
    <w:p>
      <w:pPr>
        <w:widowControl/>
        <w:spacing w:line="560" w:lineRule="exact"/>
        <w:ind w:left="658"/>
        <w:rPr>
          <w:rFonts w:ascii="仿宋" w:hAnsi="仿宋" w:eastAsia="仿宋"/>
          <w:kern w:val="0"/>
          <w:sz w:val="32"/>
          <w:szCs w:val="32"/>
        </w:rPr>
      </w:pPr>
    </w:p>
    <w:p>
      <w:pPr>
        <w:widowControl/>
        <w:spacing w:line="560" w:lineRule="exact"/>
        <w:ind w:firstLine="624"/>
        <w:rPr>
          <w:rFonts w:ascii="仿宋" w:hAnsi="仿宋" w:eastAsia="仿宋"/>
          <w:b/>
          <w:sz w:val="32"/>
          <w:szCs w:val="32"/>
        </w:rPr>
      </w:pP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一、事件概述</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简述公司可转债发行、上市、本次赎回起因、赎回时间、赎回过程等情况。</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二、赎回结果</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说明本次赎回结果，包括赎回价格、已赎回债券数量、剩余债券数量（部分赎回适用）、支付赎回款金额等情况。</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三、赎回影响</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1．说明本次赎回对公司财务状况和经营成果的影响。</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2．说明本次赎回行为对公司本次债券募集资金投入使用的影响。</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3．说明本次赎回行为是否将导致债券不具备上市条件而面临摘牌。</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4．说明其他影响。</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四、摘牌安排</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（适用全部赎回情形或部分赎回导致不满足债券上市条件的情形）</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说明摘牌日期安排等事宜。</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五、最新股本结构</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按照《公开发行证券的公司信息披露内容与格式准则第5号——公司股份变动报告的内容与格式》中的附表2“股份变动情况表”，披露公司截至日前最新的股本结构情况。</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六、其他事项</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其他需说明的事项。</w:t>
      </w:r>
    </w:p>
    <w:p>
      <w:pPr>
        <w:widowControl/>
        <w:spacing w:line="560" w:lineRule="exact"/>
        <w:ind w:firstLine="643" w:firstLineChars="200"/>
        <w:rPr>
          <w:rFonts w:ascii="仿宋" w:hAnsi="仿宋" w:eastAsia="仿宋"/>
          <w:b/>
          <w:sz w:val="32"/>
          <w:szCs w:val="32"/>
        </w:rPr>
      </w:pPr>
      <w:r>
        <w:rPr>
          <w:rFonts w:hint="eastAsia" w:ascii="仿宋" w:hAnsi="仿宋" w:eastAsia="仿宋"/>
          <w:b/>
          <w:sz w:val="32"/>
          <w:szCs w:val="32"/>
        </w:rPr>
        <w:t>七、备查文件</w:t>
      </w:r>
    </w:p>
    <w:p>
      <w:pPr>
        <w:widowControl/>
        <w:spacing w:line="560" w:lineRule="exact"/>
        <w:ind w:firstLine="640" w:firstLineChars="200"/>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Theme="minorEastAsia" w:hAnsiTheme="minorEastAsia" w:eastAsiaTheme="minorEastAsia"/>
          <w:kern w:val="44"/>
          <w:sz w:val="24"/>
          <w:szCs w:val="24"/>
        </w:rPr>
      </w:pPr>
      <w:bookmarkStart w:id="437" w:name="_Toc92375827"/>
      <w:bookmarkStart w:id="438" w:name="_Toc32734"/>
      <w:bookmarkStart w:id="439" w:name="_Toc138173251"/>
      <w:r>
        <w:rPr>
          <w:rFonts w:hint="eastAsia" w:ascii="方正小标宋简体" w:hAnsi="仿宋" w:eastAsia="方正小标宋简体"/>
          <w:kern w:val="44"/>
          <w:sz w:val="44"/>
          <w:szCs w:val="44"/>
        </w:rPr>
        <w:t>再融资类第6号　上市公司可转债交易</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异常波动/严重异常波动公告格式</w:t>
      </w:r>
      <w:bookmarkEnd w:id="437"/>
      <w:bookmarkEnd w:id="438"/>
      <w:bookmarkEnd w:id="439"/>
    </w:p>
    <w:p>
      <w:pPr>
        <w:autoSpaceDE w:val="0"/>
        <w:autoSpaceDN w:val="0"/>
        <w:adjustRightInd w:val="0"/>
        <w:spacing w:line="560" w:lineRule="exact"/>
        <w:jc w:val="center"/>
        <w:rPr>
          <w:rFonts w:ascii="仿宋" w:hAnsi="仿宋" w:eastAsia="仿宋"/>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        公告编号：</w:t>
      </w:r>
    </w:p>
    <w:p>
      <w:pPr>
        <w:autoSpaceDE w:val="0"/>
        <w:autoSpaceDN w:val="0"/>
        <w:adjustRightInd w:val="0"/>
        <w:spacing w:line="560" w:lineRule="exact"/>
        <w:ind w:firstLine="480" w:firstLineChars="150"/>
        <w:rPr>
          <w:rFonts w:ascii="仿宋" w:hAnsi="仿宋" w:eastAsia="仿宋"/>
          <w:color w:val="000000"/>
          <w:sz w:val="32"/>
          <w:szCs w:val="32"/>
        </w:rPr>
      </w:pPr>
      <w:r>
        <w:rPr>
          <w:rFonts w:hint="eastAsia" w:ascii="仿宋" w:hAnsi="仿宋" w:eastAsia="仿宋"/>
          <w:color w:val="000000"/>
          <w:sz w:val="32"/>
          <w:szCs w:val="32"/>
        </w:rPr>
        <w:t>转债代码：        转债简称：</w:t>
      </w:r>
    </w:p>
    <w:p>
      <w:pPr>
        <w:snapToGrid w:val="0"/>
        <w:spacing w:line="560" w:lineRule="exact"/>
        <w:jc w:val="center"/>
        <w:rPr>
          <w:rFonts w:ascii="仿宋" w:hAnsi="仿宋" w:eastAsia="仿宋"/>
          <w:sz w:val="32"/>
          <w:szCs w:val="32"/>
        </w:rPr>
      </w:pPr>
      <w:r>
        <w:rPr>
          <w:rFonts w:hint="eastAsia" w:ascii="仿宋" w:hAnsi="仿宋" w:eastAsia="仿宋"/>
          <w:sz w:val="32"/>
          <w:szCs w:val="32"/>
        </w:rPr>
        <w:t>XX股份有限公司可转债交易异常波动/严重异常波动公告</w:t>
      </w:r>
    </w:p>
    <w:p>
      <w:pPr>
        <w:autoSpaceDE w:val="0"/>
        <w:autoSpaceDN w:val="0"/>
        <w:adjustRightInd w:val="0"/>
        <w:spacing w:line="560" w:lineRule="exact"/>
        <w:ind w:right="360"/>
        <w:rPr>
          <w:rFonts w:ascii="仿宋" w:hAnsi="仿宋" w:eastAsia="仿宋" w:cs="宋体"/>
          <w:color w:val="000000"/>
          <w:kern w:val="0"/>
          <w:sz w:val="32"/>
          <w:szCs w:val="32"/>
        </w:rPr>
      </w:pPr>
      <w:r>
        <w:rPr>
          <w:rFonts w:hint="eastAsia"/>
        </w:rPr>
        <mc:AlternateContent>
          <mc:Choice Requires="wps">
            <w:drawing>
              <wp:anchor distT="0" distB="0" distL="114300" distR="114300" simplePos="0" relativeHeight="251699200" behindDoc="0" locked="0" layoutInCell="1" allowOverlap="1">
                <wp:simplePos x="0" y="0"/>
                <wp:positionH relativeFrom="column">
                  <wp:posOffset>-171450</wp:posOffset>
                </wp:positionH>
                <wp:positionV relativeFrom="paragraph">
                  <wp:posOffset>98425</wp:posOffset>
                </wp:positionV>
                <wp:extent cx="5715000" cy="1638300"/>
                <wp:effectExtent l="0" t="0" r="19050" b="1905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5715000" cy="1638300"/>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75pt;height:129pt;width:450pt;z-index:251699200;mso-width-relative:page;mso-height-relative:page;" fillcolor="#FFFFFF" filled="t" stroked="t" coordsize="21600,21600" o:gfxdata="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6b66HYAAAACgEAAA8AAAAAAAAAAQAgAAAAIgAAAGRycy9k&#10;b3ducmV2LnhtbFBLAQIUABQAAAAIAIdO4kDCStd/OwIAAH0EAAAOAAAAAAAAAAEAIAAAACcBAABk&#10;cnMvZTJvRG9jLnhtbFBLBQYAAAAABgAGAFkBAADU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rPr>
          <w:rFonts w:ascii="仿宋" w:hAnsi="仿宋" w:eastAsia="仿宋" w:cs="宋体"/>
          <w:color w:val="000000"/>
          <w:kern w:val="0"/>
          <w:sz w:val="32"/>
          <w:szCs w:val="32"/>
        </w:rPr>
      </w:pPr>
    </w:p>
    <w:p>
      <w:pPr>
        <w:autoSpaceDE w:val="0"/>
        <w:autoSpaceDN w:val="0"/>
        <w:adjustRightInd w:val="0"/>
        <w:spacing w:line="560" w:lineRule="exact"/>
        <w:ind w:right="360"/>
        <w:rPr>
          <w:rFonts w:ascii="仿宋" w:hAnsi="仿宋" w:eastAsia="仿宋" w:cs="宋体"/>
          <w:color w:val="000000"/>
          <w:kern w:val="0"/>
          <w:sz w:val="32"/>
          <w:szCs w:val="32"/>
        </w:rPr>
      </w:pPr>
    </w:p>
    <w:p>
      <w:pPr>
        <w:autoSpaceDE w:val="0"/>
        <w:autoSpaceDN w:val="0"/>
        <w:adjustRightInd w:val="0"/>
        <w:spacing w:line="560" w:lineRule="exact"/>
        <w:ind w:right="360"/>
        <w:rPr>
          <w:rFonts w:ascii="仿宋" w:hAnsi="仿宋" w:eastAsia="仿宋"/>
          <w:color w:val="000000"/>
          <w:sz w:val="32"/>
          <w:szCs w:val="32"/>
        </w:rPr>
      </w:pPr>
    </w:p>
    <w:p>
      <w:pPr>
        <w:autoSpaceDE w:val="0"/>
        <w:autoSpaceDN w:val="0"/>
        <w:adjustRightInd w:val="0"/>
        <w:spacing w:line="560" w:lineRule="exact"/>
        <w:ind w:right="360"/>
        <w:rPr>
          <w:rFonts w:ascii="仿宋" w:hAnsi="仿宋" w:eastAsia="仿宋"/>
          <w:color w:val="000000"/>
          <w:sz w:val="32"/>
          <w:szCs w:val="32"/>
        </w:rPr>
      </w:pP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一、可转债发行上市概况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说明可转债发行上市的基本情况，包括发行日期、数量、面值、总额、利率、期限，上市日期、转债代码、转债简称，以及可转债开始转股的日期、转股价格等。</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二、可转债交易异常波动/严重异常波动的具体情况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说明可转债交易异常波动/严重异常波动的具体情形及发生时间等。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可转换公司债券交易实施细则》规定的异常波动标准的，公司可参考以下表述描述可转债交易异常情形：①公司可转债交易连续3个交易日内日收盘价涨（跌）幅偏离值累计达到±30%；②证监会或者本所认定属于异常波动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触及本所《可转换公司债券交易实施细则》规定的严重异常波动标准的，公司可参考以下表述描述可转债交易严重异常情形：①公司可转债交易连续10个交易日内3次出现同向异常波动情形；②公司可转债交易连续10个交易日内日收盘价涨（跌）幅偏离值累计达到+100%（-50%）；③公司可转债交易连续30个交易日内日收盘价涨（跌）幅偏离值累计达到+200%（-70%）；④证监会或者本所认定属于严重异常波动的其他情形。如上市公司可转债交易出现严重异常波动的多种情形，应当列明出现的所有情形。</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三、说明关注、核实情况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说明关注问题、核实对象、核实方式、核实结论等。关注问题包括不限于：（1）前期披露的信息是否存在需要更正、补充之处；（2）近期公共传媒是否报道了可能或已经对公司可转债交易价格产生较大影响的未公开重大信息；（3）近期公司经营情况及内外部经营环境是否发生或预计将要发生重大变化；（4）公司、控股股东和实际控制人是否存在关于本公司的应披露而未披露的重大事项，或处于筹划阶段的重大事项；（5）可转债价格偏离可转债价值的程度；（6）可转债交易异常波动期间，公司董事、监事、高级管理人员、实际控制人、控股股东及其一致行动人买卖公司可转债的情况；（7）是否存在导致可转债价格异常波动的重大信息或者重大风险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2．在关注、核实过程中发现涉及其他应披露事项的，要参照相关公告格式对有关事项逐项作出说明和披露。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3．传闻内容虽非涉及公司未公开重大信息，但可能或已经对公司可转债交易价格产生较大影响的，真实、准确、完整的说明相关情况对公司的影响并进行风险提示。中国证监会及本所另有要求的除外。</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四、是否存在应披露而未披露信息的说明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上市公司董事会履行关注、核实程序并确认不存在前述问题后，作出声明。声明的具体表述为：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公司董事会确认，本公司目前没有任何根据深交所《股票上市规则》等有关规定应予以披露而未披露的事项或与该事项有关的筹划、商谈、意向、协议等；董事会也未获悉本公司有根据深交所《股票上市规则》等有关规定应予以披露而未披露的、对本公司可转债交易价格产生较大影响的信息；公司前期披露的信息不存在需要更正、补充之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或：本公司董事会确认，除前述事项（指第三部分涉及的披露事项）外，本公司目前没有任何根据深交所《股票上市规则》规定应予以披露而未披露的事项或与该事项有关的筹划、商谈、意向、协议等；董事会也未获悉本公司有根据深交所《股票上市规则》的规定应予以披露而未披露的、对本公司可转债交易价格产生较大影响的信息；公司前期披露的信息不存在需要更正、补充之处。</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五、上市公司认为必要的风险提示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1．“XX转债”近期价格波动较大，XXXX年XX月XX日盘中涨幅/跌幅达XX%，当日收盘涨幅/跌幅XX%，换手率XX%。最近XX个交易日，累计涨幅/跌幅达到XX%。</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2．截至XXXX年XX月XX日，“XX转债”价格XX元/张，相对于票面价格溢价XX%。“XX转债”按照当前转股价格转换后的价值为XX元（转股价值），可转债价格相对于转股价值溢价XX%。当前“XX转债”存在较大的估值风险。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3．可转债可能触发赎回条款的风险提示。（如适用）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可转债可能触发赎回条款的，公司可参考以下表述：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募集说明书相关约定，当公司A股股票连续XX个交易日中至少有XX个交易日的收盘价格不低于当期转股价格的XX%（含XX%），发行人有权按照债券面值加当期应计利息的价格赎回全部或部分未转股的可转债。截至XXXX年XX月XX日，公司股票在任何连续XX个交易日中已有XX个交易日的收盘价格不低于当期转股价格的XX%（触及时适用），存在一定的赎回风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若“XX转债”触发赎回条款、且公司决定赎回，投资者所持可转债除在规定时限内通过二级市场继续交易或按照XX元的转股价格进行转股外，仅能选择以100元/张的票面价格加当期应计利息（即XX元）被强制赎回，可能面临较大投资损失。（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5．公司应自查是否存在违反信息公平披露的情形，并在公告中予以明确说明。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如果异常波动发生在定期报告披露期间，未披露业绩预告的，公司应说明是否不存在需披露业绩预告的情况；已披露业绩预告、业绩快报的，公司应说明是否不存在应修正情况；若应当披露业绩预告或修正公告的，应当同时进行披露。不存在需披露业绩预告情况的，还应说明未公开的定期业绩信息是否已向除为公司审计的会计师事务所以外的第三方提供；如有，说明相关情况并披露主要财务指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7．在公告中郑重提醒广大投资者：“《XXXX报》和XXX网站为公司选定的信息披露媒体，公司所有信息均以在上述指定媒体刊登的信息为准，请广大投资者理性投资，注意风险。”</w:t>
      </w:r>
    </w:p>
    <w:p>
      <w:pPr>
        <w:snapToGrid w:val="0"/>
        <w:spacing w:line="560" w:lineRule="exact"/>
        <w:ind w:firstLine="54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 xml:space="preserve">XXXX年XX月XX日 </w:t>
      </w:r>
    </w:p>
    <w:p/>
    <w:p>
      <w:pPr>
        <w:widowControl/>
        <w:spacing w:line="560" w:lineRule="exact"/>
        <w:ind w:right="640"/>
        <w:jc w:val="righ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440" w:name="_Toc91782462"/>
      <w:bookmarkStart w:id="441" w:name="_Toc91781181"/>
      <w:bookmarkStart w:id="442" w:name="_Toc7913"/>
      <w:bookmarkStart w:id="443" w:name="_Toc77928988"/>
      <w:bookmarkStart w:id="444" w:name="_Toc138173252"/>
      <w:bookmarkStart w:id="445" w:name="_Toc91607664"/>
      <w:r>
        <w:rPr>
          <w:rFonts w:hint="eastAsia" w:ascii="方正小标宋简体" w:hAnsi="仿宋" w:eastAsia="方正小标宋简体"/>
          <w:kern w:val="44"/>
          <w:sz w:val="44"/>
          <w:szCs w:val="44"/>
        </w:rPr>
        <w:t>破产事项类第１号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破产申请提示性公告格式</w:t>
      </w:r>
      <w:bookmarkEnd w:id="440"/>
      <w:bookmarkEnd w:id="441"/>
      <w:bookmarkEnd w:id="442"/>
      <w:bookmarkEnd w:id="443"/>
      <w:bookmarkEnd w:id="444"/>
      <w:bookmarkEnd w:id="445"/>
    </w:p>
    <w:p>
      <w:pPr>
        <w:autoSpaceDE w:val="0"/>
        <w:autoSpaceDN w:val="0"/>
        <w:adjustRightInd w:val="0"/>
        <w:spacing w:line="560" w:lineRule="exact"/>
        <w:rPr>
          <w:rFonts w:ascii="仿宋" w:hAnsi="仿宋" w:eastAsia="仿宋"/>
          <w:b/>
          <w:color w:val="000000"/>
          <w:sz w:val="32"/>
          <w:szCs w:val="32"/>
        </w:rPr>
      </w:pPr>
    </w:p>
    <w:p>
      <w:pPr>
        <w:autoSpaceDE w:val="0"/>
        <w:autoSpaceDN w:val="0"/>
        <w:adjustRightInd w:val="0"/>
        <w:spacing w:line="560" w:lineRule="exact"/>
        <w:ind w:left="359" w:leftChars="171"/>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firstLine="1120" w:firstLineChars="350"/>
        <w:jc w:val="center"/>
        <w:rPr>
          <w:rFonts w:ascii="仿宋" w:hAnsi="仿宋" w:eastAsia="仿宋"/>
          <w:color w:val="000000"/>
          <w:sz w:val="32"/>
          <w:szCs w:val="32"/>
        </w:rPr>
      </w:pPr>
      <w:r>
        <w:rPr>
          <w:rFonts w:hint="eastAsia" w:ascii="仿宋" w:hAnsi="仿宋" w:eastAsia="仿宋"/>
          <w:color w:val="000000"/>
          <w:sz w:val="32"/>
          <w:szCs w:val="32"/>
        </w:rPr>
        <w:t>XXXXXX股份有限公司（被）申请重整、和解或破产清算的提示性公告</w: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r>
        <w:rPr>
          <w:rFonts w:hint="eastAsia"/>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-222250</wp:posOffset>
                </wp:positionV>
                <wp:extent cx="5915025" cy="1628775"/>
                <wp:effectExtent l="0" t="0" r="28575" b="2857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7.5pt;height:128.25pt;width:465.75pt;mso-position-horizontal:center;mso-position-horizontal-relative:margin;z-index:251700224;mso-width-relative:page;mso-height-relative:page;" fillcolor="#FFFFFF" filled="t" stroked="t" coordsize="21600,21600" o:gfxdata="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9PiobWAAAACAEAAA8AAAAAAAAAAQAgAAAAIgAAAGRycy9kb3ducmV2&#10;LnhtbFBLAQIUABQAAAAIAIdO4kBgcl06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tabs>
          <w:tab w:val="left" w:pos="5040"/>
        </w:tabs>
        <w:spacing w:line="560" w:lineRule="exact"/>
        <w:rPr>
          <w:rFonts w:ascii="仿宋" w:hAnsi="仿宋" w:eastAsia="仿宋"/>
          <w:b/>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后续公司是否进入重整程序尚存在重大不确定性，公司股票及其衍生品种可能被实施退市风险警示、终止上市的相关风险提示。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简要说明公司获悉被申请破产的时间及方式。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如为债权人申请的，说明申请人的基本情况、申请目的、申请的事实和理由，以及申请人与公司及公司董事、监事、高级管理人员、控股股东、实际控制人是否存在关联关系、一致行动关系。</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如为公司申请的，说明公司作出申请决定的具体原因、申请目的、正式递交申请的时间，以及已履行和仍需履行的审议程序。</w:t>
      </w:r>
    </w:p>
    <w:p>
      <w:pPr>
        <w:tabs>
          <w:tab w:val="left" w:pos="504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二、上市公司基本情况</w:t>
      </w:r>
    </w:p>
    <w:p>
      <w:pPr>
        <w:tabs>
          <w:tab w:val="left" w:pos="5040"/>
        </w:tabs>
        <w:spacing w:line="560" w:lineRule="exact"/>
        <w:ind w:firstLine="640" w:firstLineChars="200"/>
        <w:rPr>
          <w:rFonts w:ascii="仿宋" w:hAnsi="仿宋" w:eastAsia="仿宋"/>
          <w:b/>
          <w:sz w:val="32"/>
          <w:szCs w:val="32"/>
        </w:rPr>
      </w:pPr>
      <w:r>
        <w:rPr>
          <w:rFonts w:hint="eastAsia" w:ascii="仿宋" w:hAnsi="仿宋" w:eastAsia="仿宋"/>
          <w:sz w:val="32"/>
          <w:szCs w:val="32"/>
        </w:rPr>
        <w:t>简要说明公司基本情况，包括但不限于公司的生产经营情况以及最近一年及一期的主要财务数据。</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三、事件影响及董事会意见</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简要说明上述事件可能对公司造成的影响以及公司董事会拟采取的相应措施。</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四、其他说明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1．对于破产事项被法院受理可能存在障碍的，说明存在障碍的具体情况及解决措施（如有）。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2．公司董事、监事、高级管理人员以及控股股东、实际控制人未来六个月的减持计划。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1．法院通知书(如适用)；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2．董事会审议破产申请的相关决议（如适用）；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3．深交所要求的其他文件。</w:t>
      </w:r>
    </w:p>
    <w:p>
      <w:pPr>
        <w:tabs>
          <w:tab w:val="left" w:pos="5040"/>
        </w:tabs>
        <w:spacing w:line="560" w:lineRule="exact"/>
        <w:ind w:firstLine="643" w:firstLineChars="200"/>
        <w:rPr>
          <w:rFonts w:ascii="仿宋" w:hAnsi="仿宋" w:eastAsia="仿宋"/>
          <w:b/>
          <w:color w:val="000000"/>
          <w:sz w:val="32"/>
          <w:szCs w:val="32"/>
        </w:rPr>
      </w:pPr>
    </w:p>
    <w:p>
      <w:pPr>
        <w:tabs>
          <w:tab w:val="left" w:pos="5040"/>
        </w:tabs>
        <w:spacing w:line="560" w:lineRule="exact"/>
        <w:ind w:firstLine="643" w:firstLineChars="200"/>
        <w:rPr>
          <w:rFonts w:ascii="仿宋" w:hAnsi="仿宋" w:eastAsia="仿宋"/>
          <w:b/>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b/>
          <w:kern w:val="0"/>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46" w:name="_Toc91781182"/>
      <w:bookmarkStart w:id="447" w:name="_Toc28935"/>
      <w:bookmarkStart w:id="448" w:name="_Toc77928989"/>
      <w:bookmarkStart w:id="449" w:name="_Toc91782463"/>
      <w:bookmarkStart w:id="450" w:name="_Toc91607665"/>
      <w:bookmarkStart w:id="451" w:name="_Toc138173253"/>
      <w:r>
        <w:rPr>
          <w:rFonts w:hint="eastAsia" w:ascii="方正小标宋简体" w:hAnsi="仿宋" w:eastAsia="方正小标宋简体"/>
          <w:kern w:val="44"/>
          <w:sz w:val="44"/>
          <w:szCs w:val="44"/>
        </w:rPr>
        <w:t>破产事项类第２号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被法院受理破产申请公告格式</w:t>
      </w:r>
      <w:bookmarkEnd w:id="446"/>
      <w:bookmarkEnd w:id="447"/>
      <w:bookmarkEnd w:id="448"/>
      <w:bookmarkEnd w:id="449"/>
      <w:bookmarkEnd w:id="450"/>
      <w:bookmarkEnd w:id="451"/>
    </w:p>
    <w:p>
      <w:pPr>
        <w:tabs>
          <w:tab w:val="left" w:pos="5040"/>
        </w:tabs>
        <w:autoSpaceDE w:val="0"/>
        <w:autoSpaceDN w:val="0"/>
        <w:adjustRightInd w:val="0"/>
        <w:spacing w:line="560" w:lineRule="exact"/>
        <w:ind w:firstLine="800" w:firstLineChars="250"/>
        <w:rPr>
          <w:rFonts w:ascii="仿宋" w:hAnsi="仿宋" w:eastAsia="仿宋"/>
          <w:color w:val="000000"/>
          <w:sz w:val="32"/>
          <w:szCs w:val="32"/>
        </w:rPr>
      </w:pPr>
    </w:p>
    <w:p>
      <w:pPr>
        <w:tabs>
          <w:tab w:val="left" w:pos="5040"/>
        </w:tabs>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        证券简称：</w:t>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tabs>
          <w:tab w:val="left" w:pos="5040"/>
        </w:tabs>
        <w:autoSpaceDE w:val="0"/>
        <w:autoSpaceDN w:val="0"/>
        <w:adjustRightInd w:val="0"/>
        <w:spacing w:line="560" w:lineRule="exact"/>
        <w:ind w:left="359" w:leftChars="171" w:firstLine="940" w:firstLineChars="294"/>
        <w:jc w:val="center"/>
        <w:rPr>
          <w:rFonts w:ascii="仿宋" w:hAnsi="仿宋" w:eastAsia="仿宋"/>
          <w:color w:val="000000"/>
          <w:sz w:val="32"/>
          <w:szCs w:val="32"/>
        </w:rPr>
      </w:pPr>
      <w:r>
        <w:rPr>
          <w:rFonts w:hint="eastAsia" w:ascii="仿宋" w:hAnsi="仿宋" w:eastAsia="仿宋"/>
          <w:color w:val="000000"/>
          <w:sz w:val="32"/>
          <w:szCs w:val="32"/>
        </w:rPr>
        <w:t>XXXXXX股份有限公司被法院受理重整、和解或破产清算申请的公告</w:t>
      </w:r>
    </w:p>
    <w:p>
      <w:pPr>
        <w:tabs>
          <w:tab w:val="left" w:pos="5040"/>
        </w:tabs>
        <w:autoSpaceDE w:val="0"/>
        <w:autoSpaceDN w:val="0"/>
        <w:adjustRightInd w:val="0"/>
        <w:spacing w:line="560" w:lineRule="exact"/>
        <w:ind w:left="360"/>
        <w:jc w:val="center"/>
        <w:rPr>
          <w:rFonts w:ascii="仿宋" w:hAnsi="仿宋" w:eastAsia="仿宋"/>
          <w:b/>
          <w:color w:val="000000"/>
          <w:sz w:val="32"/>
          <w:szCs w:val="32"/>
        </w:rPr>
      </w:pPr>
      <w:r>
        <w:rPr>
          <w:rFonts w:hint="eastAsia"/>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127635</wp:posOffset>
                </wp:positionV>
                <wp:extent cx="5915025" cy="1571625"/>
                <wp:effectExtent l="0" t="0" r="28575" b="2857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5915025" cy="15716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05pt;height:123.75pt;width:465.75pt;mso-position-horizontal:center;mso-position-horizontal-relative:margin;z-index:251701248;mso-width-relative:page;mso-height-relative:page;" fillcolor="#FFFFFF" filled="t" stroked="t" coordsize="21600,21600" o:gfxdata="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lk3hTWAAAABwEAAA8AAAAAAAAAAQAgAAAAIgAAAGRycy9kb3ducmV2Lnht&#10;bFBLAQIUABQAAAAIAIdO4kAcfUrANAIAAH0EAAAOAAAAAAAAAAEAIAAAACUBAABkcnMvZTJvRG9j&#10;LnhtbFBLBQYAAAAABgAGAFkBAADL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ind w:firstLine="643" w:firstLineChars="200"/>
        <w:rPr>
          <w:rFonts w:ascii="仿宋" w:hAnsi="仿宋" w:eastAsia="仿宋"/>
          <w:b/>
          <w:color w:val="000000"/>
          <w:kern w:val="0"/>
          <w:sz w:val="32"/>
          <w:szCs w:val="32"/>
        </w:rPr>
      </w:pPr>
    </w:p>
    <w:p>
      <w:pPr>
        <w:tabs>
          <w:tab w:val="left" w:pos="5040"/>
        </w:tabs>
        <w:spacing w:line="560" w:lineRule="exact"/>
        <w:rPr>
          <w:rFonts w:ascii="仿宋" w:hAnsi="仿宋" w:eastAsia="仿宋" w:cs="宋体"/>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公司股票将于XXXX年XX月XX日被实施退市风险警示处理，股票简称变更为“*ST XX”，股票代码不变。</w:t>
      </w:r>
    </w:p>
    <w:p>
      <w:pPr>
        <w:spacing w:line="560" w:lineRule="exact"/>
        <w:ind w:firstLine="640" w:firstLineChars="200"/>
        <w:rPr>
          <w:rFonts w:ascii="仿宋" w:hAnsi="仿宋" w:eastAsia="仿宋"/>
          <w:color w:val="00000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1．破产事项简述：说明公司破产事项受理基本情况，包括申请人名称、所在地、申请时间及破产申请事由等。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2．受理法院名称、裁定受理时间、裁定书案号。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3．裁定书主要内容：包括法院作出受理破产的裁定依据及裁定意见等。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4．申请人向上一级法院提起上诉的情况（如适用）。</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二、法院指定管理人情况（如适用）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1．管理人：简述管理人的基本情况，</w:t>
      </w:r>
      <w:r>
        <w:rPr>
          <w:rFonts w:hint="eastAsia" w:ascii="仿宋" w:hAnsi="仿宋" w:eastAsia="仿宋"/>
          <w:sz w:val="32"/>
          <w:szCs w:val="32"/>
        </w:rPr>
        <w:t>说明《指定管理人决定书》文号及主要内容，</w:t>
      </w:r>
      <w:r>
        <w:rPr>
          <w:rFonts w:hint="eastAsia" w:ascii="仿宋" w:hAnsi="仿宋" w:eastAsia="仿宋"/>
          <w:color w:val="000000"/>
          <w:sz w:val="32"/>
          <w:szCs w:val="32"/>
        </w:rPr>
        <w:t>包括管理人名称、负责人、主要成员、职责及联系方式等；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2．管理模式：说明法院裁定的具体管理运作模式（管理人管理模式或管理人监督模式）。</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三、事件影响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1．股票交易：说明公司股票将于XXXX年XX月XX日被实施退市风险警示处理，股票简称将变更为“*ST XX”。</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2．信息披露义务人：说明后续信息披露事务责任主体名称、成员、联系方式等。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3．管理人关于继续或停止上市公司营业的决定，以及法院许可情况。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4．其他影响：说明破产事项受理对公司生产经营等其他方面的影响。</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1．对公司因破产事项被受理存在的终止上市风险作出充分提示。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2．重整、和解或破产清算对公司的影响，提示风险。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2．深交所要求的其他文件。</w:t>
      </w: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52" w:name="_Toc11809"/>
      <w:bookmarkStart w:id="453" w:name="_Toc91781183"/>
      <w:bookmarkStart w:id="454" w:name="_Toc77928990"/>
      <w:bookmarkStart w:id="455" w:name="_Toc91607666"/>
      <w:bookmarkStart w:id="456" w:name="_Toc138173254"/>
      <w:bookmarkStart w:id="457" w:name="_Toc91782464"/>
      <w:r>
        <w:rPr>
          <w:rFonts w:hint="eastAsia" w:ascii="方正小标宋简体" w:hAnsi="仿宋" w:eastAsia="方正小标宋简体"/>
          <w:kern w:val="44"/>
          <w:sz w:val="44"/>
          <w:szCs w:val="44"/>
        </w:rPr>
        <w:t>破产事项类第３号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破产重整计划（和解协议）获准公告格式</w:t>
      </w:r>
      <w:bookmarkEnd w:id="452"/>
      <w:bookmarkEnd w:id="453"/>
      <w:bookmarkEnd w:id="454"/>
      <w:bookmarkEnd w:id="455"/>
      <w:bookmarkEnd w:id="456"/>
      <w:bookmarkEnd w:id="457"/>
    </w:p>
    <w:p>
      <w:pPr>
        <w:autoSpaceDE w:val="0"/>
        <w:autoSpaceDN w:val="0"/>
        <w:adjustRightInd w:val="0"/>
        <w:spacing w:line="560" w:lineRule="exact"/>
        <w:ind w:firstLine="803" w:firstLineChars="250"/>
        <w:rPr>
          <w:rFonts w:ascii="仿宋" w:hAnsi="仿宋" w:eastAsia="仿宋"/>
          <w:b/>
          <w:color w:val="000000"/>
          <w:sz w:val="32"/>
          <w:szCs w:val="32"/>
        </w:rPr>
      </w:pPr>
    </w:p>
    <w:p>
      <w:pPr>
        <w:autoSpaceDE w:val="0"/>
        <w:autoSpaceDN w:val="0"/>
        <w:adjustRightIn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left="360"/>
        <w:jc w:val="center"/>
        <w:rPr>
          <w:rFonts w:ascii="仿宋" w:hAnsi="仿宋" w:eastAsia="仿宋"/>
          <w:color w:val="000000"/>
          <w:sz w:val="32"/>
          <w:szCs w:val="32"/>
        </w:rPr>
      </w:pPr>
      <w:r>
        <w:rPr>
          <w:rFonts w:hint="eastAsia" w:ascii="仿宋" w:hAnsi="仿宋" w:eastAsia="仿宋"/>
          <w:color w:val="000000"/>
          <w:sz w:val="32"/>
          <w:szCs w:val="32"/>
        </w:rPr>
        <w:t>XXXXXX股份有限公司破产重整计划（和解协议）获准公告</w:t>
      </w:r>
    </w:p>
    <w:p>
      <w:pPr>
        <w:autoSpaceDE w:val="0"/>
        <w:autoSpaceDN w:val="0"/>
        <w:adjustRightInd w:val="0"/>
        <w:spacing w:line="560" w:lineRule="exact"/>
        <w:ind w:left="360"/>
        <w:jc w:val="center"/>
        <w:rPr>
          <w:rFonts w:ascii="仿宋" w:hAnsi="仿宋" w:eastAsia="仿宋"/>
          <w:b/>
          <w:color w:val="000000"/>
          <w:sz w:val="32"/>
          <w:szCs w:val="32"/>
        </w:rPr>
      </w:pPr>
      <w:r>
        <w:rPr>
          <w:rFonts w:hint="eastAsia"/>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130810</wp:posOffset>
                </wp:positionV>
                <wp:extent cx="5914390" cy="1571625"/>
                <wp:effectExtent l="0" t="0" r="10160" b="2857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5914390" cy="15716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0.3pt;height:123.75pt;width:465.7pt;mso-position-horizontal:center;mso-position-horizontal-relative:margin;z-index:251702272;mso-width-relative:page;mso-height-relative:page;" fillcolor="#FFFFFF" filled="t" stroked="t" coordsize="21600,21600" o:gfxdata="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Qv4F9YAAAAHAQAADwAAAAAAAAABACAAAAAiAAAAZHJzL2Rvd25yZXYu&#10;eG1sUEsBAhQAFAAAAAgAh07iQId+x/M2AgAAfQQAAA4AAAAAAAAAAQAgAAAAJQEAAGRycy9lMm9E&#10;b2MueG1sUEsFBgAAAAAGAAYAWQEAAM0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rPr>
          <w:rFonts w:ascii="仿宋" w:hAnsi="仿宋" w:eastAsia="仿宋"/>
          <w:b/>
          <w:color w:val="000000"/>
          <w:sz w:val="32"/>
          <w:szCs w:val="32"/>
        </w:rPr>
      </w:pPr>
    </w:p>
    <w:p>
      <w:pPr>
        <w:spacing w:line="56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简述公司破产重整计划（和解协议）获批情况，说明法院名称、批准重整计划（和解协议）时间、裁定书案号、裁定依据、主要裁定意见等。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二、重整计划、和解协议主要内容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说明重整计划的主要内容，包括债务人的经营方案，债权分类情况及调整方案、债权受偿方案、重整计划的执行期、重整计划的监督期限、有利于重整计划执行的其他措施等情况。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说明和解协议的主要内容，包括各债权人金额、债务偿付比例、偿付总金额等情况。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三、执行重整计划、和解协议对公司的影响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sz w:val="32"/>
          <w:szCs w:val="32"/>
        </w:rPr>
        <w:t>就重整计划中约定的经营方案详细说明执行步骤和时间安排，</w:t>
      </w:r>
      <w:r>
        <w:rPr>
          <w:rFonts w:hint="eastAsia" w:ascii="仿宋" w:hAnsi="仿宋" w:eastAsia="仿宋"/>
          <w:color w:val="000000"/>
          <w:sz w:val="32"/>
          <w:szCs w:val="32"/>
        </w:rPr>
        <w:t>并说明对公司的持续经营能力、经营成果和财务状况等方面的影响，</w:t>
      </w:r>
      <w:r>
        <w:rPr>
          <w:rFonts w:hint="eastAsia" w:ascii="仿宋" w:hAnsi="仿宋" w:eastAsia="仿宋"/>
          <w:sz w:val="32"/>
          <w:szCs w:val="32"/>
        </w:rPr>
        <w:t>并充分论证方案的可行性</w:t>
      </w:r>
      <w:r>
        <w:rPr>
          <w:rFonts w:hint="eastAsia" w:ascii="仿宋" w:hAnsi="仿宋" w:eastAsia="仿宋"/>
          <w:color w:val="000000"/>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2．本所或公司董事会认为需要说明的其他事项。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2．重整计划或和解协议书；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3．深交所要求的其他文件。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b/>
          <w:kern w:val="0"/>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58" w:name="_Toc77928991"/>
      <w:bookmarkStart w:id="459" w:name="_Toc91607667"/>
      <w:bookmarkStart w:id="460" w:name="_Toc91781184"/>
      <w:bookmarkStart w:id="461" w:name="_Toc22758"/>
      <w:bookmarkStart w:id="462" w:name="_Toc138173255"/>
      <w:bookmarkStart w:id="463" w:name="_Toc91782465"/>
      <w:r>
        <w:rPr>
          <w:rFonts w:hint="eastAsia" w:ascii="方正小标宋简体" w:hAnsi="仿宋" w:eastAsia="方正小标宋简体"/>
          <w:kern w:val="44"/>
          <w:sz w:val="44"/>
          <w:szCs w:val="44"/>
        </w:rPr>
        <w:t>破产事项类第４号　上市公司被法院</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宣告破产暨终止上市风险提示性公告格式</w:t>
      </w:r>
      <w:bookmarkEnd w:id="458"/>
      <w:bookmarkEnd w:id="459"/>
      <w:bookmarkEnd w:id="460"/>
      <w:bookmarkEnd w:id="461"/>
      <w:bookmarkEnd w:id="462"/>
      <w:bookmarkEnd w:id="463"/>
    </w:p>
    <w:p>
      <w:pPr>
        <w:spacing w:line="560" w:lineRule="exact"/>
        <w:jc w:val="center"/>
        <w:rPr>
          <w:rFonts w:ascii="仿宋" w:hAnsi="仿宋" w:eastAsia="仿宋"/>
          <w:sz w:val="32"/>
          <w:szCs w:val="32"/>
        </w:rPr>
      </w:pPr>
      <w:r>
        <w:rPr>
          <w:rFonts w:hint="eastAsia" w:ascii="仿宋" w:hAnsi="仿宋" w:eastAsia="仿宋"/>
          <w:color w:val="000000"/>
          <w:sz w:val="32"/>
          <w:szCs w:val="32"/>
        </w:rPr>
        <w:t xml:space="preserve"> </w:t>
      </w:r>
    </w:p>
    <w:p>
      <w:pPr>
        <w:autoSpaceDE w:val="0"/>
        <w:autoSpaceDN w:val="0"/>
        <w:adjustRightInd w:val="0"/>
        <w:spacing w:line="560" w:lineRule="exact"/>
        <w:ind w:firstLine="320" w:firstLineChars="100"/>
        <w:rPr>
          <w:rFonts w:ascii="仿宋" w:hAnsi="仿宋" w:eastAsia="仿宋"/>
          <w:color w:val="000000"/>
          <w:sz w:val="32"/>
          <w:szCs w:val="32"/>
        </w:rPr>
      </w:pPr>
      <w:r>
        <w:rPr>
          <w:rFonts w:hint="eastAsia" w:ascii="仿宋" w:hAnsi="仿宋" w:eastAsia="仿宋"/>
          <w:color w:val="000000"/>
          <w:sz w:val="32"/>
          <w:szCs w:val="32"/>
        </w:rPr>
        <w:t>证券代码：</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证券简称：</w:t>
      </w:r>
      <w:r>
        <w:rPr>
          <w:rFonts w:hint="eastAsia" w:ascii="仿宋" w:hAnsi="仿宋" w:eastAsia="仿宋"/>
          <w:color w:val="000000"/>
          <w:sz w:val="32"/>
          <w:szCs w:val="32"/>
        </w:rPr>
        <w:tab/>
      </w:r>
      <w:r>
        <w:rPr>
          <w:rFonts w:hint="eastAsia" w:ascii="仿宋" w:hAnsi="仿宋" w:eastAsia="仿宋"/>
          <w:color w:val="000000"/>
          <w:sz w:val="32"/>
          <w:szCs w:val="32"/>
        </w:rPr>
        <w:tab/>
      </w:r>
      <w:r>
        <w:rPr>
          <w:rFonts w:hint="eastAsia" w:ascii="仿宋" w:hAnsi="仿宋" w:eastAsia="仿宋"/>
          <w:color w:val="000000"/>
          <w:sz w:val="32"/>
          <w:szCs w:val="32"/>
        </w:rPr>
        <w:t xml:space="preserve">     公告编号：</w:t>
      </w:r>
    </w:p>
    <w:p>
      <w:pPr>
        <w:autoSpaceDE w:val="0"/>
        <w:autoSpaceDN w:val="0"/>
        <w:adjustRightInd w:val="0"/>
        <w:spacing w:line="560" w:lineRule="exact"/>
        <w:ind w:left="360"/>
        <w:jc w:val="center"/>
        <w:rPr>
          <w:rFonts w:ascii="仿宋" w:hAnsi="仿宋" w:eastAsia="仿宋"/>
          <w:color w:val="000000"/>
          <w:sz w:val="32"/>
          <w:szCs w:val="32"/>
        </w:rPr>
      </w:pPr>
      <w:r>
        <w:rPr>
          <w:rFonts w:hint="eastAsia" w:ascii="仿宋" w:hAnsi="仿宋" w:eastAsia="仿宋"/>
          <w:color w:val="000000"/>
          <w:sz w:val="32"/>
          <w:szCs w:val="32"/>
        </w:rPr>
        <w:t>XXXXXX股份有限公司被法院宣告破产暨终止上市风险提示性公告</w:t>
      </w:r>
    </w:p>
    <w:p>
      <w:pPr>
        <w:autoSpaceDE w:val="0"/>
        <w:autoSpaceDN w:val="0"/>
        <w:adjustRightInd w:val="0"/>
        <w:spacing w:line="560" w:lineRule="exact"/>
        <w:ind w:left="360"/>
        <w:jc w:val="center"/>
        <w:rPr>
          <w:rFonts w:ascii="仿宋" w:hAnsi="仿宋" w:eastAsia="仿宋"/>
          <w:b/>
          <w:color w:val="000000"/>
          <w:sz w:val="32"/>
          <w:szCs w:val="32"/>
        </w:rPr>
      </w:pPr>
      <w:r>
        <w:rPr>
          <w:rFonts w:hint="eastAsia"/>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175260</wp:posOffset>
                </wp:positionV>
                <wp:extent cx="5915025" cy="1571625"/>
                <wp:effectExtent l="0" t="0" r="28575" b="2857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5915025" cy="15716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3.8pt;height:123.75pt;width:465.75pt;mso-position-horizontal:center;mso-position-horizontal-relative:margin;z-index:251703296;mso-width-relative:page;mso-height-relative:page;" fillcolor="#FFFFFF" filled="t" stroked="t" coordsize="21600,21600" o:gfxdata="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OOninWAAAABwEAAA8AAAAAAAAAAQAgAAAAIgAAAGRycy9kb3ducmV2Lnht&#10;bFBLAQIUABQAAAAIAIdO4kD//RKwNAIAAH0EAAAOAAAAAAAAAAEAIAAAACUBAABkcnMvZTJvRG9j&#10;LnhtbFBLBQYAAAAABgAGAFkBAADLBQ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本公司及董事会（或管理人）全体成员（或除XXX、XXX外的全体成员）保证信息披露的内容真实、准确、完整，没有虚假记载、误导性陈述或重大遗漏。</w:t>
                      </w:r>
                    </w:p>
                    <w:p>
                      <w:pPr>
                        <w:snapToGrid w:val="0"/>
                        <w:spacing w:line="440" w:lineRule="exact"/>
                        <w:ind w:firstLine="540"/>
                        <w:rPr>
                          <w:rFonts w:ascii="仿宋" w:hAnsi="仿宋" w:eastAsia="仿宋"/>
                          <w:sz w:val="32"/>
                          <w:szCs w:val="32"/>
                        </w:rPr>
                      </w:pPr>
                      <w:r>
                        <w:rPr>
                          <w:rFonts w:hint="eastAsia" w:ascii="仿宋" w:hAnsi="仿宋" w:eastAsia="仿宋"/>
                          <w:sz w:val="32"/>
                          <w:szCs w:val="32"/>
                        </w:rPr>
                        <w:t>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left="360"/>
        <w:jc w:val="center"/>
        <w:rPr>
          <w:rFonts w:ascii="仿宋" w:hAnsi="仿宋" w:eastAsia="仿宋"/>
          <w:b/>
          <w:color w:val="000000"/>
          <w:sz w:val="32"/>
          <w:szCs w:val="32"/>
        </w:rPr>
      </w:pPr>
    </w:p>
    <w:p>
      <w:pPr>
        <w:autoSpaceDE w:val="0"/>
        <w:autoSpaceDN w:val="0"/>
        <w:adjustRightInd w:val="0"/>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特别提示：</w:t>
      </w:r>
      <w:r>
        <w:rPr>
          <w:rFonts w:hint="eastAsia" w:ascii="仿宋" w:hAnsi="仿宋" w:eastAsia="仿宋"/>
          <w:sz w:val="32"/>
          <w:szCs w:val="32"/>
        </w:rPr>
        <w:t>公司股票将于XXXX年XX月XX日开市起停牌，深交所将于停牌之日起5个交易日内向公司发出拟终止股票上市的事先告知书。</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一、事件概述</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简要说明公司被法院宣告破产情况，包括法院名称、裁定时间、裁定书案号、裁定依据、主要裁定意见等。</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二、风险提示及相关安排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1．说明破产事项对公司生产经营等方面的影响和公司董事会（或管理人）拟采取的措施及安排（如适用）。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2．终止上市安排：说明根据本所《股票上市规则》的规定，公司股票存在的终止上市风险，说明公司股票在本所作出终止上市决定前的停牌安排等相关事宜。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三、其他说明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本所或公司董事会（或管理人）认为需要说明的其他事宜。</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1．法院裁定书；</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2．深交所要求的其他文件。</w:t>
      </w:r>
    </w:p>
    <w:p>
      <w:pPr>
        <w:spacing w:line="560" w:lineRule="exact"/>
        <w:rPr>
          <w:rFonts w:ascii="仿宋" w:hAnsi="仿宋" w:eastAsia="仿宋"/>
          <w:b/>
          <w:color w:val="000000"/>
          <w:sz w:val="32"/>
          <w:szCs w:val="32"/>
        </w:rPr>
      </w:pPr>
    </w:p>
    <w:p>
      <w:pPr>
        <w:spacing w:line="560" w:lineRule="exact"/>
        <w:rPr>
          <w:rFonts w:ascii="仿宋" w:hAnsi="仿宋" w:eastAsia="仿宋"/>
          <w:b/>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Times New Roman" w:eastAsia="方正小标宋简体"/>
          <w:kern w:val="44"/>
          <w:sz w:val="44"/>
          <w:szCs w:val="44"/>
        </w:rPr>
      </w:pPr>
      <w:bookmarkStart w:id="464" w:name="_Toc32012"/>
      <w:bookmarkStart w:id="465" w:name="_Toc138173256"/>
      <w:bookmarkStart w:id="466" w:name="_Toc100753491"/>
      <w:bookmarkStart w:id="467" w:name="_Toc1869149909_WPSOffice_Level2"/>
      <w:r>
        <w:rPr>
          <w:rFonts w:hint="eastAsia" w:ascii="方正小标宋简体" w:hAnsi="Times New Roman" w:eastAsia="方正小标宋简体"/>
          <w:kern w:val="44"/>
          <w:sz w:val="44"/>
          <w:szCs w:val="44"/>
        </w:rPr>
        <w:t>退市类第1号　上市公司股票可能</w:t>
      </w:r>
      <w:r>
        <w:rPr>
          <w:rFonts w:hint="eastAsia" w:ascii="方正小标宋简体" w:hAnsi="Times New Roman" w:eastAsia="方正小标宋简体"/>
          <w:kern w:val="44"/>
          <w:sz w:val="44"/>
          <w:szCs w:val="44"/>
        </w:rPr>
        <w:br w:type="textWrapping"/>
      </w:r>
      <w:r>
        <w:rPr>
          <w:rFonts w:hint="eastAsia" w:ascii="方正小标宋简体" w:hAnsi="Times New Roman" w:eastAsia="方正小标宋简体"/>
          <w:kern w:val="44"/>
          <w:sz w:val="44"/>
          <w:szCs w:val="44"/>
        </w:rPr>
        <w:t>被终止上市的风险提示公告格式</w:t>
      </w:r>
      <w:bookmarkEnd w:id="464"/>
      <w:bookmarkEnd w:id="465"/>
    </w:p>
    <w:p>
      <w:pPr>
        <w:spacing w:line="560" w:lineRule="exact"/>
        <w:rPr>
          <w:rFonts w:ascii="Times New Roman" w:hAnsi="Times New Roman" w:eastAsia="方正仿宋简体"/>
          <w:sz w:val="30"/>
          <w:szCs w:val="30"/>
        </w:rPr>
      </w:pPr>
    </w:p>
    <w:p>
      <w:pPr>
        <w:autoSpaceDE w:val="0"/>
        <w:autoSpaceDN w:val="0"/>
        <w:adjustRightInd w:val="0"/>
        <w:snapToGrid w:val="0"/>
        <w:spacing w:line="560" w:lineRule="exact"/>
        <w:rPr>
          <w:rFonts w:ascii="仿宋" w:hAnsi="仿宋" w:eastAsia="仿宋"/>
          <w:b/>
          <w:sz w:val="32"/>
          <w:szCs w:val="30"/>
        </w:rPr>
      </w:pPr>
      <w:r>
        <w:rPr>
          <w:rFonts w:hint="eastAsia" w:ascii="仿宋" w:hAnsi="仿宋" w:eastAsia="仿宋"/>
          <w:b/>
          <w:sz w:val="32"/>
          <w:szCs w:val="30"/>
        </w:rPr>
        <w:t>适用情形：</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上市公司应当按照本所《股票上市规则》的要求，针对不同的终止上市情形，严格在规定时间内及时披露本公告，并关注相关停牌安排。具体情形如下：</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ascii="仿宋" w:hAnsi="仿宋" w:eastAsia="仿宋"/>
          <w:color w:val="000000"/>
          <w:sz w:val="32"/>
          <w:szCs w:val="30"/>
        </w:rPr>
        <w:t>1.存在交易类终止上市风险的公司，应当</w:t>
      </w:r>
      <w:r>
        <w:rPr>
          <w:rFonts w:hint="eastAsia" w:ascii="仿宋" w:hAnsi="仿宋" w:eastAsia="仿宋"/>
          <w:color w:val="000000"/>
          <w:sz w:val="32"/>
          <w:szCs w:val="30"/>
        </w:rPr>
        <w:t>在首次和连续十个交易日出现相应情形时披露</w:t>
      </w:r>
      <w:r>
        <w:rPr>
          <w:rFonts w:hint="eastAsia" w:ascii="仿宋" w:hAnsi="仿宋" w:eastAsia="仿宋"/>
          <w:color w:val="000000"/>
          <w:sz w:val="32"/>
          <w:szCs w:val="32"/>
        </w:rPr>
        <w:t>本公告</w:t>
      </w:r>
      <w:r>
        <w:rPr>
          <w:rFonts w:hint="eastAsia" w:ascii="仿宋" w:hAnsi="仿宋" w:eastAsia="仿宋"/>
          <w:color w:val="000000"/>
          <w:sz w:val="32"/>
          <w:szCs w:val="30"/>
        </w:rPr>
        <w:t>。</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2.已被实施财务类退市风险警示的公司，应当在其股票交易实际触及退市风险警示情形相应年度次一会计年度结束后一个月内披露本公告，并在首次披露风险提示公告后</w:t>
      </w:r>
      <w:r>
        <w:rPr>
          <w:rFonts w:hint="eastAsia" w:ascii="仿宋" w:hAnsi="仿宋" w:eastAsia="仿宋"/>
          <w:sz w:val="32"/>
          <w:szCs w:val="32"/>
        </w:rPr>
        <w:t>至年度报告披露前，</w:t>
      </w:r>
      <w:r>
        <w:rPr>
          <w:rFonts w:hint="eastAsia" w:ascii="仿宋" w:hAnsi="仿宋" w:eastAsia="仿宋"/>
          <w:color w:val="000000"/>
          <w:sz w:val="32"/>
          <w:szCs w:val="30"/>
        </w:rPr>
        <w:t>每十个交易日披露一次风险提示公告；触及财务类退市指标的公司，应当在年度报告披露的同时或者发生规定情形次一交易日开市前披露本公告，公司股票于公告后停牌。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ascii="仿宋" w:hAnsi="仿宋" w:eastAsia="仿宋"/>
          <w:color w:val="000000"/>
          <w:sz w:val="32"/>
          <w:szCs w:val="30"/>
        </w:rPr>
        <w:t>3.</w:t>
      </w:r>
      <w:r>
        <w:rPr>
          <w:rFonts w:hint="eastAsia" w:ascii="仿宋" w:hAnsi="仿宋" w:eastAsia="仿宋"/>
          <w:color w:val="000000"/>
          <w:sz w:val="32"/>
          <w:szCs w:val="30"/>
        </w:rPr>
        <w:t>因触及本所《股票上市规则》第</w:t>
      </w:r>
      <w:r>
        <w:rPr>
          <w:rFonts w:ascii="仿宋" w:hAnsi="仿宋" w:eastAsia="仿宋"/>
          <w:color w:val="000000"/>
          <w:sz w:val="32"/>
          <w:szCs w:val="30"/>
        </w:rPr>
        <w:t>9.4.1条第一项至第五项、第七项至第十项情形，其股票交易</w:t>
      </w:r>
      <w:r>
        <w:rPr>
          <w:rFonts w:hint="eastAsia" w:ascii="仿宋" w:hAnsi="仿宋" w:eastAsia="仿宋"/>
          <w:color w:val="000000"/>
          <w:sz w:val="32"/>
          <w:szCs w:val="30"/>
        </w:rPr>
        <w:t>已被实施规范类退市风险警示的公司，应当至少每五个交易日披露一次本公告，直至相应情形消除或者本所终止其股票上市；因触及本所《股票上市规则》第</w:t>
      </w:r>
      <w:r>
        <w:rPr>
          <w:rFonts w:ascii="仿宋" w:hAnsi="仿宋" w:eastAsia="仿宋"/>
          <w:color w:val="000000"/>
          <w:sz w:val="32"/>
          <w:szCs w:val="30"/>
        </w:rPr>
        <w:t>9.4.1条</w:t>
      </w:r>
      <w:r>
        <w:rPr>
          <w:rFonts w:hint="eastAsia" w:ascii="仿宋" w:hAnsi="仿宋" w:eastAsia="仿宋"/>
          <w:color w:val="000000"/>
          <w:sz w:val="32"/>
          <w:szCs w:val="30"/>
        </w:rPr>
        <w:t>第六项情形，其股票交易已被实施规范类退市风险警示的公司，应当至少每月披露一次本公告，在其股票交易被实施退市风险警示的当年会计年度结束后一个月内披露本公告，并在该月首次披露退市风险提示公告后至该年内部控制审计报告披露前，每十个交易日披露一次本公告；触及规范类退市指标的公司，应当在规定情形出现的次一交易日开市前披露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4.依据相关行政机关行政处罚决定、人民法院生效裁判认定的事实，公司可能触及重大违法强制退市情形的，公司应当在收到相关行政机关行政处罚决定书，或者人民法院裁判生效后立即披露相关情况及本公告，公司股票于公告后停牌。</w:t>
      </w:r>
    </w:p>
    <w:p>
      <w:pPr>
        <w:autoSpaceDE w:val="0"/>
        <w:autoSpaceDN w:val="0"/>
        <w:adjustRightInd w:val="0"/>
        <w:snapToGri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上市公司其他证券产品（如可转债等）出现终止上市情况的，参照本公告格式发布相应的风险提示公告。</w:t>
      </w: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spacing w:line="560" w:lineRule="exact"/>
        <w:rPr>
          <w:rFonts w:ascii="仿宋" w:hAnsi="仿宋" w:eastAsia="仿宋"/>
          <w:sz w:val="30"/>
          <w:szCs w:val="30"/>
        </w:rPr>
      </w:pP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XXXX股份有限公司股票可能被终止上市的风险提示公告</w:t>
      </w:r>
    </w:p>
    <w:p>
      <w:pPr>
        <w:overflowPunct w:val="0"/>
        <w:autoSpaceDE w:val="0"/>
        <w:autoSpaceDN w:val="0"/>
        <w:adjustRightInd w:val="0"/>
        <w:spacing w:line="560" w:lineRule="exact"/>
        <w:ind w:firstLine="480"/>
        <w:rPr>
          <w:rFonts w:ascii="仿宋" w:hAnsi="仿宋" w:eastAsia="仿宋"/>
          <w:kern w:val="0"/>
          <w:sz w:val="32"/>
          <w:szCs w:val="32"/>
        </w:rPr>
      </w:pPr>
      <w:r>
        <w:rPr>
          <w:rFonts w:hint="eastAsia"/>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142875</wp:posOffset>
                </wp:positionV>
                <wp:extent cx="5915025" cy="1628775"/>
                <wp:effectExtent l="0" t="0" r="28575" b="2857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w:t>
                            </w:r>
                            <w:r>
                              <w:rPr>
                                <w:rFonts w:hint="eastAsia" w:ascii="仿宋" w:hAnsi="仿宋" w:eastAsia="仿宋"/>
                                <w:kern w:val="0"/>
                                <w:sz w:val="32"/>
                                <w:szCs w:val="32"/>
                              </w:rPr>
                              <w:t>XXX、XXX</w:t>
                            </w:r>
                            <w:r>
                              <w:rPr>
                                <w:rFonts w:hint="eastAsia" w:ascii="仿宋" w:hAnsi="仿宋" w:eastAsia="仿宋"/>
                                <w:sz w:val="32"/>
                                <w:szCs w:val="32"/>
                              </w:rPr>
                              <w:t>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w:t>
                            </w:r>
                            <w:r>
                              <w:rPr>
                                <w:rFonts w:hint="eastAsia" w:ascii="仿宋" w:hAnsi="仿宋" w:eastAsia="仿宋"/>
                                <w:kern w:val="0"/>
                                <w:sz w:val="32"/>
                                <w:szCs w:val="32"/>
                              </w:rPr>
                              <w:t>XXX</w:t>
                            </w:r>
                            <w:r>
                              <w:rPr>
                                <w:rFonts w:hint="eastAsia" w:ascii="仿宋" w:hAnsi="仿宋" w:eastAsia="仿宋"/>
                                <w:sz w:val="32"/>
                                <w:szCs w:val="32"/>
                              </w:rPr>
                              <w:t>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25pt;height:128.25pt;width:465.75pt;mso-position-horizontal:center;mso-position-horizontal-relative:margin;z-index:251704320;mso-width-relative:page;mso-height-relative:page;" fillcolor="#FFFFFF" filled="t" stroked="t" coordsize="21600,21600" o:gfxdata="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kME6HWAAAABwEAAA8AAAAAAAAAAQAgAAAAIgAAAGRycy9kb3ducmV2&#10;LnhtbFBLAQIUABQAAAAIAIdO4kCD8gVK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w:t>
                      </w:r>
                      <w:r>
                        <w:rPr>
                          <w:rFonts w:hint="eastAsia" w:ascii="仿宋" w:hAnsi="仿宋" w:eastAsia="仿宋"/>
                          <w:kern w:val="0"/>
                          <w:sz w:val="32"/>
                          <w:szCs w:val="32"/>
                        </w:rPr>
                        <w:t>XXX、XXX</w:t>
                      </w:r>
                      <w:r>
                        <w:rPr>
                          <w:rFonts w:hint="eastAsia" w:ascii="仿宋" w:hAnsi="仿宋" w:eastAsia="仿宋"/>
                          <w:sz w:val="32"/>
                          <w:szCs w:val="32"/>
                        </w:rPr>
                        <w:t>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w:t>
                      </w:r>
                      <w:r>
                        <w:rPr>
                          <w:rFonts w:hint="eastAsia" w:ascii="仿宋" w:hAnsi="仿宋" w:eastAsia="仿宋"/>
                          <w:kern w:val="0"/>
                          <w:sz w:val="32"/>
                          <w:szCs w:val="32"/>
                        </w:rPr>
                        <w:t>XXX</w:t>
                      </w:r>
                      <w:r>
                        <w:rPr>
                          <w:rFonts w:hint="eastAsia" w:ascii="仿宋" w:hAnsi="仿宋" w:eastAsia="仿宋"/>
                          <w:sz w:val="32"/>
                          <w:szCs w:val="32"/>
                        </w:rPr>
                        <w:t>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overflowPunct w:val="0"/>
        <w:autoSpaceDE w:val="0"/>
        <w:autoSpaceDN w:val="0"/>
        <w:adjustRightInd w:val="0"/>
        <w:spacing w:line="560" w:lineRule="exact"/>
        <w:ind w:firstLine="480"/>
        <w:rPr>
          <w:rFonts w:ascii="仿宋" w:hAnsi="仿宋" w:eastAsia="仿宋"/>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adjustRightInd w:val="0"/>
        <w:snapToGrid w:val="0"/>
        <w:spacing w:line="560" w:lineRule="exact"/>
        <w:jc w:val="center"/>
        <w:rPr>
          <w:rFonts w:ascii="仿宋" w:hAnsi="仿宋" w:eastAsia="仿宋"/>
          <w:color w:val="000000"/>
          <w:sz w:val="30"/>
          <w:szCs w:val="30"/>
        </w:rPr>
      </w:pPr>
    </w:p>
    <w:p>
      <w:pPr>
        <w:adjustRightInd w:val="0"/>
        <w:snapToGrid w:val="0"/>
        <w:spacing w:line="560" w:lineRule="exact"/>
        <w:ind w:firstLine="643" w:firstLineChars="200"/>
        <w:rPr>
          <w:rFonts w:ascii="仿宋" w:hAnsi="仿宋" w:eastAsia="仿宋"/>
          <w:b/>
          <w:sz w:val="32"/>
          <w:szCs w:val="30"/>
        </w:rPr>
      </w:pPr>
      <w:r>
        <w:rPr>
          <w:rFonts w:hint="eastAsia" w:ascii="仿宋" w:hAnsi="仿宋" w:eastAsia="仿宋"/>
          <w:b/>
          <w:sz w:val="32"/>
          <w:szCs w:val="30"/>
        </w:rPr>
        <w:t>特别提示：</w:t>
      </w:r>
    </w:p>
    <w:p>
      <w:pPr>
        <w:pStyle w:val="2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1.简要说明公司股票存在终止上市风险的适用情形。如：公司于20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日披露了《关于公司股票交易被实施退市风险警示的公告》，公司股票于20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日开市起被实施退市风险警示。若公司出现《股票上市规则》第</w:t>
      </w:r>
      <w:r>
        <w:rPr>
          <w:rFonts w:hint="eastAsia" w:ascii="仿宋" w:hAnsi="仿宋" w:eastAsia="仿宋"/>
          <w:kern w:val="0"/>
          <w:sz w:val="32"/>
          <w:szCs w:val="32"/>
        </w:rPr>
        <w:t>X</w:t>
      </w:r>
      <w:r>
        <w:rPr>
          <w:rFonts w:hint="eastAsia" w:ascii="仿宋" w:hAnsi="仿宋" w:eastAsia="仿宋"/>
          <w:sz w:val="32"/>
          <w:szCs w:val="30"/>
        </w:rPr>
        <w:t>条规定的情形，公司股票存在被终止上市的风险。</w:t>
      </w:r>
    </w:p>
    <w:p>
      <w:pPr>
        <w:pStyle w:val="2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2.说明公司披露本公告的规则依据和具体适用情形。如：根据《股票上市规则》第</w:t>
      </w:r>
      <w:r>
        <w:rPr>
          <w:rFonts w:hint="eastAsia" w:ascii="仿宋" w:hAnsi="仿宋" w:eastAsia="仿宋"/>
          <w:kern w:val="0"/>
          <w:sz w:val="32"/>
          <w:szCs w:val="32"/>
        </w:rPr>
        <w:t>X</w:t>
      </w:r>
      <w:r>
        <w:rPr>
          <w:rFonts w:hint="eastAsia" w:ascii="仿宋" w:hAnsi="仿宋" w:eastAsia="仿宋"/>
          <w:sz w:val="32"/>
          <w:szCs w:val="30"/>
        </w:rPr>
        <w:t>条的规定（列明具体条文），公司应当披露股票可能被终止上市的风险提示公告。敬请广大投资者理性投资，注意风险。</w:t>
      </w:r>
    </w:p>
    <w:p>
      <w:pPr>
        <w:pStyle w:val="258"/>
        <w:adjustRightInd w:val="0"/>
        <w:snapToGrid w:val="0"/>
        <w:spacing w:line="560" w:lineRule="exact"/>
        <w:ind w:firstLine="640"/>
        <w:rPr>
          <w:rFonts w:ascii="仿宋" w:hAnsi="仿宋" w:eastAsia="仿宋"/>
          <w:sz w:val="32"/>
          <w:szCs w:val="30"/>
        </w:rPr>
      </w:pPr>
      <w:r>
        <w:rPr>
          <w:rFonts w:hint="eastAsia" w:ascii="仿宋" w:hAnsi="仿宋" w:eastAsia="仿宋"/>
          <w:color w:val="000000"/>
          <w:sz w:val="32"/>
          <w:szCs w:val="30"/>
        </w:rPr>
        <w:t>已被实施财务类退市风险警示的公司，应当披露下列表格并正确勾选可能触及的终止上市情形。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1"/>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具体情形</w:t>
            </w:r>
          </w:p>
        </w:tc>
        <w:tc>
          <w:tcPr>
            <w:tcW w:w="20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32"/>
                <w:szCs w:val="32"/>
              </w:rPr>
            </w:pPr>
            <w:r>
              <w:rPr>
                <w:rFonts w:hint="eastAsia" w:ascii="仿宋" w:hAnsi="仿宋" w:eastAsia="仿宋"/>
                <w:b/>
                <w:sz w:val="32"/>
                <w:szCs w:val="32"/>
              </w:rPr>
              <w:t>是否适用</w:t>
            </w:r>
          </w:p>
          <w:p>
            <w:pPr>
              <w:jc w:val="center"/>
              <w:rPr>
                <w:rFonts w:ascii="仿宋" w:hAnsi="仿宋" w:eastAsia="仿宋"/>
                <w:b/>
                <w:sz w:val="32"/>
                <w:szCs w:val="32"/>
              </w:rPr>
            </w:pPr>
            <w:r>
              <w:rPr>
                <w:rFonts w:hint="eastAsia" w:ascii="仿宋" w:hAnsi="仿宋" w:eastAsia="仿宋"/>
                <w:b/>
                <w:sz w:val="32"/>
                <w:szCs w:val="32"/>
              </w:rPr>
              <w:t>（对可能触及的打勾）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经审计的利润总额、净利润、扣除非经常性损益后的净利润三者孰低为负值，且扣除后的营业收入低于3亿元。</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经审计的期末净资产为负值。</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财务会计报告被出具保留意见、无法表示意见或者否定意见的审计报告。</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追溯重述后利润总额、净利润、扣除非经常性损益后的净利润三者孰低为负值，且扣除后的营业收入低于3亿元；或者追溯重述后期末净资产为负值。</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财务报告内部控制被出具无法表示意见或者否定意见的审计报告。</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未按照规定披露内部控制审计报告，因实施完成破产重整、重组上市或者重大资产重组按照有关规定无法披露的除外。</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r>
              <w:rPr>
                <w:rFonts w:hint="eastAsia" w:ascii="仿宋" w:hAnsi="仿宋" w:eastAsia="仿宋"/>
                <w:sz w:val="32"/>
                <w:szCs w:val="32"/>
              </w:rPr>
              <w:t>未在法定期限内披露过半数董事保证真实、准确、完整的年度报告。</w:t>
            </w:r>
          </w:p>
        </w:tc>
        <w:tc>
          <w:tcPr>
            <w:tcW w:w="2025" w:type="pct"/>
            <w:tcBorders>
              <w:top w:val="single" w:color="auto" w:sz="4" w:space="0"/>
              <w:left w:val="single" w:color="auto" w:sz="4" w:space="0"/>
              <w:bottom w:val="single" w:color="auto" w:sz="4" w:space="0"/>
              <w:right w:val="single" w:color="auto" w:sz="4" w:space="0"/>
            </w:tcBorders>
          </w:tcPr>
          <w:p>
            <w:pPr>
              <w:rPr>
                <w:rFonts w:ascii="仿宋" w:hAnsi="仿宋" w:eastAsia="仿宋"/>
                <w:sz w:val="32"/>
                <w:szCs w:val="32"/>
              </w:rPr>
            </w:pPr>
          </w:p>
        </w:tc>
      </w:tr>
    </w:tbl>
    <w:p>
      <w:pPr>
        <w:pStyle w:val="258"/>
        <w:adjustRightInd w:val="0"/>
        <w:snapToGrid w:val="0"/>
        <w:spacing w:line="560" w:lineRule="exact"/>
        <w:ind w:firstLine="640"/>
        <w:rPr>
          <w:rFonts w:ascii="仿宋" w:hAnsi="仿宋" w:eastAsia="仿宋"/>
          <w:sz w:val="32"/>
          <w:szCs w:val="30"/>
        </w:rPr>
      </w:pPr>
      <w:r>
        <w:rPr>
          <w:rFonts w:hint="eastAsia" w:ascii="仿宋" w:hAnsi="仿宋" w:eastAsia="仿宋"/>
          <w:sz w:val="32"/>
          <w:szCs w:val="30"/>
        </w:rPr>
        <w:t>3.说明披露本公告后公司股票的停牌安排（如适用）。</w:t>
      </w:r>
    </w:p>
    <w:p>
      <w:pPr>
        <w:autoSpaceDE w:val="0"/>
        <w:autoSpaceDN w:val="0"/>
        <w:adjustRightInd w:val="0"/>
        <w:snapToGrid w:val="0"/>
        <w:spacing w:line="560" w:lineRule="exact"/>
        <w:ind w:firstLine="600" w:firstLineChars="200"/>
        <w:rPr>
          <w:rFonts w:ascii="仿宋" w:hAnsi="仿宋" w:eastAsia="仿宋"/>
          <w:color w:val="000000"/>
          <w:kern w:val="0"/>
          <w:sz w:val="30"/>
          <w:szCs w:val="30"/>
        </w:rPr>
      </w:pP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一、公司股票可能被终止上市的原因</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公司应当逐项对照《股票上市规则》所列终止上市情形，结合自身各项风险情况，详细说明股票可能被终止上市的具体适用情形及其原因。</w:t>
      </w:r>
    </w:p>
    <w:p>
      <w:pPr>
        <w:autoSpaceDE w:val="0"/>
        <w:autoSpaceDN w:val="0"/>
        <w:adjustRightInd w:val="0"/>
        <w:snapToGrid w:val="0"/>
        <w:spacing w:line="560" w:lineRule="exact"/>
        <w:ind w:firstLine="643" w:firstLineChars="200"/>
        <w:rPr>
          <w:rFonts w:ascii="仿宋" w:hAnsi="仿宋" w:eastAsia="仿宋"/>
          <w:color w:val="000000"/>
          <w:kern w:val="0"/>
          <w:sz w:val="32"/>
          <w:szCs w:val="32"/>
        </w:rPr>
      </w:pPr>
      <w:r>
        <w:rPr>
          <w:rFonts w:hint="eastAsia" w:ascii="仿宋" w:hAnsi="仿宋" w:eastAsia="仿宋"/>
          <w:b/>
          <w:color w:val="000000"/>
          <w:kern w:val="0"/>
          <w:sz w:val="32"/>
          <w:szCs w:val="32"/>
        </w:rPr>
        <w:t>二、重点提示的风险事项（如适用）</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对于已被实施财务类退市风险警示的公司，如存在下列情形之一的，需明确说明相关情况，充分提示退市风险，采取的措施（如有）：</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1.业绩预告预计相关指标将触及《股票上市规则》第</w:t>
      </w:r>
      <w:r>
        <w:rPr>
          <w:rFonts w:ascii="仿宋" w:hAnsi="仿宋" w:eastAsia="仿宋"/>
          <w:color w:val="000000"/>
          <w:kern w:val="0"/>
          <w:sz w:val="32"/>
          <w:szCs w:val="32"/>
        </w:rPr>
        <w:t>9.3.12</w:t>
      </w:r>
      <w:r>
        <w:rPr>
          <w:rFonts w:hint="eastAsia" w:ascii="仿宋" w:hAnsi="仿宋" w:eastAsia="仿宋"/>
          <w:color w:val="000000"/>
          <w:kern w:val="0"/>
          <w:sz w:val="32"/>
          <w:szCs w:val="32"/>
        </w:rPr>
        <w:t>条规定的任一情形，股票可能被终止上市的；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2.尚未聘请会计师事务所的；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3.业绩预告与会计师事务所出具的预审计情况的专项说明或审计进展情况的专项说明中相关内容存在重大差异的；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4.在年报编制及审计过程中，公司与会计师事务所对影响公司是否触及退市情形的关键事项存在重大分歧的；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5.在法定期限内披露年度报告存在障碍的；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6.影响公司是否触及退市情形的事项尚未核实，且未履行信息披露义务的；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7.公司预计退市风险出现重大变化，股票可能被终止上市的；</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8.其他应当重点提示的风险事项。</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三、公司股票停牌安排、终止上市决定及退市整理期安排（如适用）</w:t>
      </w:r>
    </w:p>
    <w:p>
      <w:pPr>
        <w:widowControl/>
        <w:adjustRightInd w:val="0"/>
        <w:snapToGrid w:val="0"/>
        <w:spacing w:line="560" w:lineRule="exact"/>
        <w:ind w:firstLine="640" w:firstLineChars="200"/>
        <w:jc w:val="left"/>
        <w:rPr>
          <w:rFonts w:ascii="仿宋" w:hAnsi="仿宋" w:eastAsia="仿宋"/>
          <w:bCs/>
          <w:kern w:val="0"/>
          <w:sz w:val="32"/>
          <w:szCs w:val="32"/>
        </w:rPr>
      </w:pPr>
      <w:r>
        <w:rPr>
          <w:rFonts w:hint="eastAsia" w:ascii="仿宋" w:hAnsi="仿宋" w:eastAsia="仿宋"/>
          <w:bCs/>
          <w:kern w:val="0"/>
          <w:sz w:val="32"/>
          <w:szCs w:val="32"/>
        </w:rPr>
        <w:t>本部分适用于实际触及退市指标的次一交易日开市前披露本公告的情形。</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说明公司股票触及终止上市情形后的停牌安排；根据《股票上市规则》第X条的规定，深交所将在公司出现终止上市情形（具体情形表述）后的规定期限内，作出是否终止其股票上市的决定。</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如果公司股票被作出终止上市决定，自深圳证券交易所公告对公司股票作出终止上市决定之日后的五个交易日届满的次一交易日起，公司股票进入退市整理期。退市整理期的交易期限为十五个交易日。上市公司股票于退市整理期届满的次一交易日摘牌，公司股票终止上市。</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交易类强制退市情形无退市整理期，公司应当充分提示风险。</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四、历次终止上市风险提示公告的披露情况（如适用）</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以列举的方式详细说明历次终止上市风险提示公告的披露情况。</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五、其他事项</w:t>
      </w:r>
    </w:p>
    <w:p>
      <w:pPr>
        <w:autoSpaceDE w:val="0"/>
        <w:autoSpaceDN w:val="0"/>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其他需要说明的事项，如对公司其他证券产品（公司债、可转债）等进行相关风险提示。</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六、备查文件</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before="156" w:beforeLines="50" w:after="156" w:afterLines="50" w:line="560" w:lineRule="exact"/>
        <w:ind w:firstLine="640" w:firstLineChars="200"/>
        <w:jc w:val="right"/>
        <w:rPr>
          <w:rFonts w:ascii="仿宋" w:hAnsi="仿宋" w:eastAsia="仿宋"/>
          <w:bCs/>
          <w:sz w:val="32"/>
          <w:szCs w:val="32"/>
        </w:rPr>
      </w:pPr>
      <w:r>
        <w:rPr>
          <w:rFonts w:hint="eastAsia" w:ascii="仿宋" w:hAnsi="仿宋" w:eastAsia="仿宋"/>
          <w:color w:val="000000"/>
          <w:kern w:val="0"/>
          <w:sz w:val="32"/>
          <w:szCs w:val="32"/>
        </w:rPr>
        <w:t>XXXX</w:t>
      </w:r>
      <w:r>
        <w:rPr>
          <w:rFonts w:hint="eastAsia" w:ascii="仿宋" w:hAnsi="仿宋" w:eastAsia="仿宋"/>
          <w:bCs/>
          <w:sz w:val="32"/>
          <w:szCs w:val="32"/>
        </w:rPr>
        <w:t>股份有限公司董事会</w:t>
      </w:r>
    </w:p>
    <w:p>
      <w:pPr>
        <w:autoSpaceDE w:val="0"/>
        <w:autoSpaceDN w:val="0"/>
        <w:adjustRightInd w:val="0"/>
        <w:spacing w:line="560" w:lineRule="exact"/>
        <w:ind w:firstLine="614" w:firstLineChars="192"/>
        <w:jc w:val="right"/>
        <w:rPr>
          <w:rFonts w:ascii="仿宋" w:hAnsi="仿宋" w:eastAsia="仿宋"/>
          <w:b/>
          <w:color w:val="000000"/>
          <w:kern w:val="0"/>
          <w:sz w:val="32"/>
          <w:szCs w:val="32"/>
        </w:rPr>
      </w:pPr>
      <w:r>
        <w:rPr>
          <w:rFonts w:hint="eastAsia" w:ascii="仿宋" w:hAnsi="仿宋" w:eastAsia="仿宋"/>
          <w:bCs/>
          <w:sz w:val="32"/>
          <w:szCs w:val="32"/>
        </w:rPr>
        <w:t>年  月  日</w:t>
      </w:r>
    </w:p>
    <w:p>
      <w:pPr>
        <w:autoSpaceDE w:val="0"/>
        <w:autoSpaceDN w:val="0"/>
        <w:adjustRightInd w:val="0"/>
        <w:spacing w:line="560" w:lineRule="exact"/>
        <w:ind w:firstLine="576" w:firstLineChars="192"/>
        <w:jc w:val="right"/>
        <w:rPr>
          <w:rFonts w:ascii="Times New Roman" w:hAnsi="Times New Roman" w:eastAsia="方正仿宋简体"/>
          <w:b/>
          <w:color w:val="000000"/>
          <w:kern w:val="0"/>
          <w:sz w:val="30"/>
          <w:szCs w:val="30"/>
        </w:rPr>
      </w:pPr>
    </w:p>
    <w:bookmarkEnd w:id="466"/>
    <w:p>
      <w:pPr>
        <w:widowControl/>
        <w:jc w:val="left"/>
        <w:rPr>
          <w:rFonts w:ascii="方正仿宋简体" w:hAnsi="黑体" w:eastAsia="方正仿宋简体" w:cs="宋体-WinCharSetFFFF-H"/>
          <w:b/>
          <w:color w:val="000000"/>
          <w:kern w:val="0"/>
          <w:sz w:val="30"/>
          <w:szCs w:val="30"/>
        </w:rPr>
      </w:pPr>
    </w:p>
    <w:p>
      <w:pPr>
        <w:widowControl/>
        <w:jc w:val="left"/>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bookmarkStart w:id="468" w:name="_Toc100753492"/>
    </w:p>
    <w:p>
      <w:pPr>
        <w:keepNext/>
        <w:keepLines/>
        <w:spacing w:before="340" w:line="560" w:lineRule="exact"/>
        <w:jc w:val="center"/>
        <w:outlineLvl w:val="2"/>
        <w:rPr>
          <w:rFonts w:ascii="方正小标宋简体" w:hAnsi="仿宋" w:eastAsia="方正小标宋简体"/>
          <w:kern w:val="44"/>
          <w:sz w:val="44"/>
          <w:szCs w:val="44"/>
        </w:rPr>
      </w:pPr>
      <w:bookmarkStart w:id="469" w:name="_Toc805"/>
      <w:bookmarkStart w:id="470" w:name="_Toc138173257"/>
      <w:r>
        <w:rPr>
          <w:rFonts w:hint="eastAsia" w:ascii="方正小标宋简体" w:hAnsi="仿宋" w:eastAsia="方正小标宋简体"/>
          <w:kern w:val="44"/>
          <w:sz w:val="44"/>
          <w:szCs w:val="44"/>
        </w:rPr>
        <w:t>退市类第2号　上市公司收到</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股票终止上市决定公告格式</w:t>
      </w:r>
      <w:bookmarkEnd w:id="469"/>
      <w:bookmarkEnd w:id="470"/>
    </w:p>
    <w:bookmarkEnd w:id="467"/>
    <w:bookmarkEnd w:id="468"/>
    <w:p>
      <w:pPr>
        <w:rPr>
          <w:rFonts w:ascii="方正仿宋简体" w:eastAsia="方正仿宋简体"/>
        </w:rPr>
      </w:pPr>
    </w:p>
    <w:p>
      <w:pPr>
        <w:adjustRightInd w:val="0"/>
        <w:snapToGrid w:val="0"/>
        <w:spacing w:line="560" w:lineRule="exact"/>
        <w:rPr>
          <w:rFonts w:ascii="仿宋" w:hAnsi="仿宋" w:eastAsia="仿宋"/>
          <w:sz w:val="32"/>
          <w:szCs w:val="30"/>
        </w:rPr>
      </w:pPr>
      <w:r>
        <w:rPr>
          <w:rFonts w:hint="eastAsia" w:ascii="仿宋" w:hAnsi="仿宋" w:eastAsia="仿宋"/>
          <w:sz w:val="32"/>
          <w:szCs w:val="30"/>
        </w:rPr>
        <w:t>证券代码：          证券简称：       公告编号：</w:t>
      </w:r>
    </w:p>
    <w:p>
      <w:pPr>
        <w:snapToGrid w:val="0"/>
        <w:spacing w:line="560" w:lineRule="exact"/>
        <w:jc w:val="center"/>
        <w:rPr>
          <w:rFonts w:ascii="仿宋" w:hAnsi="仿宋" w:eastAsia="仿宋"/>
          <w:color w:val="000000"/>
          <w:sz w:val="32"/>
          <w:szCs w:val="30"/>
        </w:rPr>
      </w:pPr>
      <w:r>
        <w:rPr>
          <w:rFonts w:hint="eastAsia" w:ascii="仿宋" w:hAnsi="仿宋" w:eastAsia="仿宋"/>
          <w:color w:val="000000"/>
          <w:sz w:val="32"/>
          <w:szCs w:val="30"/>
        </w:rPr>
        <w:t>XXXX股份有限公司收到股票终止上市决定公告</w:t>
      </w:r>
    </w:p>
    <w:p>
      <w:pPr>
        <w:snapToGrid w:val="0"/>
        <w:spacing w:line="560" w:lineRule="exact"/>
        <w:jc w:val="center"/>
        <w:rPr>
          <w:rFonts w:ascii="仿宋" w:hAnsi="仿宋" w:eastAsia="仿宋"/>
          <w:color w:val="000000"/>
          <w:sz w:val="32"/>
          <w:szCs w:val="32"/>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1.终止上市的证券种类、证券简称、证券代码及终止上市日期。</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2.公司股票进入退市整理期的起始日和退市整理期的交易期限（如适用）。</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3.退市整理期间股票交易安排（如适用）。</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4.请投资者、证券公司等市场主体在股票摘牌前及时了结股票质押式回购、约定购回、融资融券、转融通、深股通等业务。</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5.对于将在股票摘牌后至完成退市板块初始登记期间到期的司法冻结业务，建议有权机关在股票摘牌前通过原协助执行渠道提前办理续冻手续。</w:t>
      </w: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本公司于</w:t>
      </w: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收到深圳证券交易所《关于</w:t>
      </w:r>
      <w:r>
        <w:rPr>
          <w:rFonts w:hint="eastAsia" w:ascii="仿宋" w:hAnsi="仿宋" w:eastAsia="仿宋"/>
          <w:kern w:val="0"/>
          <w:sz w:val="32"/>
          <w:szCs w:val="32"/>
        </w:rPr>
        <w:t>XXXX</w:t>
      </w:r>
      <w:r>
        <w:rPr>
          <w:rFonts w:hint="eastAsia" w:ascii="仿宋" w:hAnsi="仿宋" w:eastAsia="仿宋"/>
          <w:color w:val="000000"/>
          <w:sz w:val="32"/>
          <w:szCs w:val="32"/>
        </w:rPr>
        <w:t>股份有限公司股票终止上市的决定》（深证上〔20 X X〕X号），深圳证券交易所决定终止公司股票上市。</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一、终止上市的证券种类、证券简称、证券代码</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1.证券种类</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2.证券简称</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3.证券代码</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二、终止上市决定的主要内容</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说明收到深圳证券交易所关于公司股票终止上市决定的主要内容。</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三、终止上市后公司股票登记、转让和管理事宜</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主动终止上市公司：说明公司股票终止上市后，公司将选择在证券交易场所交易或转让其股票，或者依法作出其他安排，以及相应的股票登记、转让和管理事宜等。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强制终止上市公司：说明公司股票终止上市后，公司股票将转入全国中小企业股份转让系统等证券交易场所转让，以及相应的股票登记、转让和管理事宜等。</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四、终止上市后公司的信息披露指定媒体、联系人、联系地址、电话和其他通讯方式</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说明公司股票终止上市后的信息披露指定媒体、联系人、联系地址、电话和其他通讯方式等。</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五、公司退市整理期（如适用）及摘牌相关安排</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s="宋体"/>
          <w:bCs/>
          <w:kern w:val="0"/>
          <w:sz w:val="32"/>
          <w:szCs w:val="32"/>
        </w:rPr>
        <w:t>根据《股票上市规则》，自深圳证券交易所公告对上市公司</w:t>
      </w:r>
      <w:r>
        <w:rPr>
          <w:rFonts w:hint="eastAsia" w:ascii="仿宋" w:hAnsi="仿宋" w:eastAsia="仿宋"/>
          <w:color w:val="000000"/>
          <w:sz w:val="32"/>
          <w:szCs w:val="32"/>
        </w:rPr>
        <w:t>股票作出终止上市的决定之日后的五个交易日届满的次一交易日起，公司股票进入退市整理期。在退市整理期间，公司股票继续在风险警示板交易。</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进入退市整理期的起始日、交易期限及预计最后交易日期、退市整理期首日及后续交易日涨跌幅限制、公司股票于退市整理期届满的次一交易日摘牌，公司股票终止上市等内容，同时还应当说明公司股票在退市整理期内全天停牌的，停牌期间不计入退市整理期、退市整理期间风险提示公告的披露安排等。</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对于不进入退市整理期交易的股票，应当说明根据《股票上市规则》，公司股票被作出终止上市决定后，公司股票于十五个交易日内摘牌，公司股票终止上市。</w:t>
      </w:r>
    </w:p>
    <w:p>
      <w:pPr>
        <w:autoSpaceDE w:val="0"/>
        <w:autoSpaceDN w:val="0"/>
        <w:adjustRightInd w:val="0"/>
        <w:spacing w:line="560" w:lineRule="exact"/>
        <w:ind w:firstLine="643" w:firstLineChars="200"/>
        <w:rPr>
          <w:rFonts w:ascii="仿宋" w:hAnsi="仿宋" w:eastAsia="仿宋"/>
          <w:color w:val="000000"/>
          <w:sz w:val="32"/>
          <w:szCs w:val="32"/>
        </w:rPr>
      </w:pPr>
      <w:r>
        <w:rPr>
          <w:rFonts w:hint="eastAsia" w:ascii="仿宋" w:hAnsi="仿宋" w:eastAsia="仿宋" w:cs="宋体"/>
          <w:b/>
          <w:bCs/>
          <w:kern w:val="0"/>
          <w:sz w:val="32"/>
          <w:szCs w:val="32"/>
        </w:rPr>
        <w:t>六、其他重要事项</w:t>
      </w:r>
    </w:p>
    <w:p>
      <w:pPr>
        <w:widowControl/>
        <w:adjustRightInd w:val="0"/>
        <w:snapToGrid w:val="0"/>
        <w:spacing w:line="560" w:lineRule="exact"/>
        <w:ind w:firstLine="643" w:firstLineChars="200"/>
        <w:rPr>
          <w:rFonts w:ascii="仿宋" w:hAnsi="仿宋" w:eastAsia="仿宋" w:cs="宋体"/>
          <w:b/>
          <w:bCs/>
          <w:kern w:val="0"/>
          <w:sz w:val="32"/>
          <w:szCs w:val="32"/>
        </w:rPr>
      </w:pPr>
      <w:r>
        <w:rPr>
          <w:rFonts w:hint="eastAsia" w:ascii="仿宋" w:hAnsi="仿宋" w:eastAsia="仿宋"/>
          <w:b/>
          <w:color w:val="000000"/>
          <w:sz w:val="32"/>
          <w:szCs w:val="32"/>
        </w:rPr>
        <w:t>七、备查文件</w:t>
      </w:r>
    </w:p>
    <w:p>
      <w:pPr>
        <w:widowControl/>
        <w:adjustRightInd w:val="0"/>
        <w:snapToGrid w:val="0"/>
        <w:spacing w:line="560" w:lineRule="exact"/>
        <w:ind w:firstLine="640" w:firstLineChars="200"/>
        <w:rPr>
          <w:rFonts w:ascii="仿宋" w:hAnsi="仿宋" w:eastAsia="仿宋" w:cs="宋体"/>
          <w:kern w:val="0"/>
          <w:sz w:val="32"/>
          <w:szCs w:val="32"/>
        </w:rPr>
      </w:pPr>
    </w:p>
    <w:p>
      <w:pPr>
        <w:adjustRightInd w:val="0"/>
        <w:snapToGrid w:val="0"/>
        <w:spacing w:before="156" w:beforeLines="50" w:after="156"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XXXX股份有限公司</w:t>
      </w:r>
    </w:p>
    <w:p>
      <w:pPr>
        <w:adjustRightInd w:val="0"/>
        <w:snapToGrid w:val="0"/>
        <w:spacing w:before="156" w:beforeLines="50" w:after="156"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年  月  日</w:t>
      </w:r>
    </w:p>
    <w:p>
      <w:pPr>
        <w:autoSpaceDE w:val="0"/>
        <w:autoSpaceDN w:val="0"/>
        <w:adjustRightInd w:val="0"/>
        <w:spacing w:line="560" w:lineRule="exact"/>
        <w:ind w:firstLine="600" w:firstLineChars="200"/>
        <w:rPr>
          <w:rFonts w:ascii="方正仿宋简体" w:eastAsia="方正仿宋简体"/>
          <w:color w:val="000000"/>
          <w:sz w:val="30"/>
          <w:szCs w:val="30"/>
        </w:rPr>
      </w:pPr>
    </w:p>
    <w:p>
      <w:pPr>
        <w:widowControl/>
        <w:jc w:val="left"/>
        <w:rPr>
          <w:rFonts w:ascii="方正仿宋简体" w:hAnsi="宋体" w:eastAsia="方正仿宋简体"/>
          <w:color w:val="000000"/>
          <w:sz w:val="30"/>
          <w:szCs w:val="30"/>
        </w:rPr>
      </w:pPr>
      <w:r>
        <w:rPr>
          <w:rFonts w:hint="eastAsia" w:ascii="方正仿宋简体" w:hAnsi="宋体" w:eastAsia="方正仿宋简体"/>
          <w:color w:val="000000"/>
          <w:sz w:val="30"/>
          <w:szCs w:val="30"/>
        </w:rPr>
        <w:br w:type="page"/>
      </w:r>
    </w:p>
    <w:p>
      <w:pPr>
        <w:keepNext/>
        <w:keepLines/>
        <w:spacing w:before="340" w:line="560" w:lineRule="exact"/>
        <w:jc w:val="center"/>
        <w:outlineLvl w:val="2"/>
        <w:rPr>
          <w:rFonts w:ascii="方正仿宋简体" w:hAnsi="仿宋" w:eastAsia="方正仿宋简体"/>
          <w:kern w:val="44"/>
          <w:sz w:val="44"/>
          <w:szCs w:val="44"/>
        </w:rPr>
      </w:pPr>
      <w:bookmarkStart w:id="471" w:name="_Toc14698"/>
      <w:bookmarkStart w:id="472" w:name="_Toc138173258"/>
      <w:r>
        <w:rPr>
          <w:rFonts w:hint="eastAsia" w:ascii="方正小标宋简体" w:hAnsi="仿宋" w:eastAsia="方正小标宋简体"/>
          <w:kern w:val="44"/>
          <w:sz w:val="44"/>
          <w:szCs w:val="44"/>
        </w:rPr>
        <w:t>退市类第3号</w:t>
      </w:r>
      <w:r>
        <w:rPr>
          <w:rFonts w:hint="eastAsia" w:ascii="方正仿宋简体" w:hAnsi="仿宋" w:eastAsia="方正仿宋简体"/>
          <w:kern w:val="44"/>
          <w:sz w:val="44"/>
          <w:szCs w:val="44"/>
        </w:rPr>
        <w:t>　</w:t>
      </w:r>
      <w:r>
        <w:rPr>
          <w:rFonts w:hint="eastAsia" w:ascii="方正小标宋简体" w:hAnsi="仿宋" w:eastAsia="方正小标宋简体"/>
          <w:kern w:val="44"/>
          <w:sz w:val="44"/>
          <w:szCs w:val="44"/>
        </w:rPr>
        <w:t>上市公司股票进入退市整理期交易首日的风险提示公告/上市公司股票于退市整理期交易的风险提示公告格式</w:t>
      </w:r>
      <w:bookmarkEnd w:id="471"/>
      <w:bookmarkEnd w:id="472"/>
    </w:p>
    <w:p>
      <w:pPr>
        <w:overflowPunct w:val="0"/>
        <w:autoSpaceDE w:val="0"/>
        <w:autoSpaceDN w:val="0"/>
        <w:adjustRightInd w:val="0"/>
        <w:spacing w:line="560" w:lineRule="exact"/>
        <w:ind w:firstLine="420"/>
        <w:rPr>
          <w:rFonts w:ascii="方正仿宋简体" w:hAnsi="仿宋" w:eastAsia="方正仿宋简体"/>
          <w:b/>
          <w:kern w:val="0"/>
          <w:sz w:val="32"/>
          <w:szCs w:val="32"/>
        </w:rPr>
      </w:pP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0"/>
        </w:rPr>
        <w:t>XXXX</w:t>
      </w:r>
      <w:r>
        <w:rPr>
          <w:rFonts w:hint="eastAsia" w:ascii="仿宋" w:hAnsi="仿宋" w:eastAsia="仿宋"/>
          <w:color w:val="000000"/>
          <w:sz w:val="32"/>
          <w:szCs w:val="32"/>
        </w:rPr>
        <w:t>股份有限公司股票进入退市整理期交易首日的风险提示公告/</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0"/>
        </w:rPr>
        <w:t>XXXX</w:t>
      </w:r>
      <w:r>
        <w:rPr>
          <w:rFonts w:hint="eastAsia" w:ascii="仿宋" w:hAnsi="仿宋" w:eastAsia="仿宋"/>
          <w:color w:val="000000"/>
          <w:sz w:val="32"/>
          <w:szCs w:val="32"/>
        </w:rPr>
        <w:t>股份有限公司股票于退市整理期交易的风险提示公告</w:t>
      </w:r>
    </w:p>
    <w:p>
      <w:pPr>
        <w:snapToGrid w:val="0"/>
        <w:spacing w:line="560" w:lineRule="exact"/>
        <w:jc w:val="center"/>
        <w:rPr>
          <w:rFonts w:ascii="仿宋" w:hAnsi="仿宋" w:eastAsia="仿宋"/>
          <w:color w:val="000000"/>
          <w:sz w:val="32"/>
          <w:szCs w:val="32"/>
        </w:rPr>
      </w:pPr>
      <w:r>
        <w:rPr>
          <w:rFonts w:hint="eastAsia" w:ascii="仿宋" w:hAnsi="仿宋" w:eastAsia="仿宋"/>
          <w:color w:val="000000"/>
          <w:sz w:val="32"/>
          <w:szCs w:val="32"/>
        </w:rPr>
        <w:t>（披露股票进入退市整理期交易首日的风险提示公告后，</w:t>
      </w:r>
      <w:r>
        <w:rPr>
          <w:rFonts w:hint="eastAsia" w:ascii="仿宋" w:hAnsi="仿宋" w:eastAsia="仿宋"/>
          <w:color w:val="000000"/>
          <w:sz w:val="32"/>
          <w:szCs w:val="32"/>
        </w:rPr>
        <w:br w:type="textWrapping"/>
      </w:r>
      <w:r>
        <w:rPr>
          <w:rFonts w:hint="eastAsia" w:ascii="仿宋" w:hAnsi="仿宋" w:eastAsia="仿宋"/>
          <w:color w:val="000000"/>
          <w:sz w:val="32"/>
          <w:szCs w:val="32"/>
        </w:rPr>
        <w:t>方可披露股票于退市整理期交易的风险提示公告）</w:t>
      </w:r>
    </w:p>
    <w:p>
      <w:pPr>
        <w:snapToGrid w:val="0"/>
        <w:spacing w:line="560" w:lineRule="exact"/>
        <w:jc w:val="center"/>
        <w:rPr>
          <w:rFonts w:ascii="仿宋" w:hAnsi="仿宋" w:eastAsia="仿宋"/>
          <w:color w:val="000000"/>
          <w:sz w:val="32"/>
          <w:szCs w:val="32"/>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ind w:firstLine="640" w:firstLineChars="200"/>
        <w:rPr>
          <w:rFonts w:ascii="仿宋" w:hAnsi="仿宋" w:eastAsia="仿宋"/>
          <w:color w:val="000000"/>
          <w:sz w:val="32"/>
          <w:szCs w:val="30"/>
        </w:rPr>
      </w:pPr>
      <w:r>
        <w:rPr>
          <w:rFonts w:hint="eastAsia" w:ascii="仿宋" w:hAnsi="仿宋" w:eastAsia="仿宋"/>
          <w:color w:val="000000"/>
          <w:sz w:val="32"/>
          <w:szCs w:val="30"/>
        </w:rPr>
        <w:t>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rPr>
        <w:t xml:space="preserve"> </w:t>
      </w:r>
      <w:r>
        <w:rPr>
          <w:rFonts w:hint="eastAsia" w:ascii="仿宋" w:hAnsi="仿宋" w:eastAsia="仿宋"/>
          <w:color w:val="000000"/>
          <w:sz w:val="32"/>
          <w:szCs w:val="32"/>
        </w:rPr>
        <w:t>公司股票于退市整理期届满的次一交易日摘牌，公司股票终止上市。</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2.退市整理期起始日及预计最后交易日期。</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3.本公司股票将在退市整理期交易十五个交易日，截至本公告日已交易XX个交易日，剩余YY个交易日，交易期满将被终止上市，敬请投资者审慎投资、注意风险。</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4.公司股票在退市整理期交易期间，公司将不筹划或实施重大资产重组事项。</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5.请投资者、证券公司等市场主体在股票摘牌前及时了结股票质押式回购、约定购回、融资融券、转融通、深股通等业务。</w:t>
      </w:r>
    </w:p>
    <w:p>
      <w:pPr>
        <w:pStyle w:val="258"/>
        <w:adjustRightInd w:val="0"/>
        <w:snapToGrid w:val="0"/>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6.对于将在股票摘牌后至完成退市板块初始登记期间到期的司法冻结业务，建议有权机关在股票摘牌前通过原协助执行渠道提前办理续冻手续。</w:t>
      </w:r>
    </w:p>
    <w:p>
      <w:pPr>
        <w:pStyle w:val="258"/>
        <w:adjustRightInd w:val="0"/>
        <w:snapToGrid w:val="0"/>
        <w:spacing w:line="560" w:lineRule="exact"/>
        <w:ind w:firstLine="64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，本公司收到深圳证券交易所《关于终止××</w:t>
      </w:r>
      <w:r>
        <w:rPr>
          <w:rFonts w:hint="eastAsia" w:ascii="仿宋" w:hAnsi="仿宋" w:eastAsia="仿宋"/>
          <w:color w:val="000000"/>
          <w:kern w:val="0"/>
          <w:sz w:val="32"/>
          <w:szCs w:val="32"/>
        </w:rPr>
        <w:t>××</w:t>
      </w:r>
      <w:r>
        <w:rPr>
          <w:rFonts w:hint="eastAsia" w:ascii="仿宋" w:hAnsi="仿宋" w:eastAsia="仿宋"/>
          <w:color w:val="000000"/>
          <w:sz w:val="32"/>
          <w:szCs w:val="32"/>
        </w:rPr>
        <w:t>股份有限公司股票上市的决定》（深证上〔20 X X〕X号），深圳证券交易所决定终止公司股票上市。根据《股票上市规则》的相关规定，本公司股票于</w:t>
      </w:r>
      <w:r>
        <w:rPr>
          <w:rFonts w:hint="eastAsia" w:ascii="仿宋" w:hAnsi="仿宋" w:eastAsia="仿宋"/>
          <w:sz w:val="32"/>
          <w:szCs w:val="30"/>
        </w:rPr>
        <w:t>20</w:t>
      </w:r>
      <w:r>
        <w:rPr>
          <w:rFonts w:hint="eastAsia" w:ascii="仿宋" w:hAnsi="仿宋" w:eastAsia="仿宋"/>
          <w:kern w:val="0"/>
          <w:sz w:val="32"/>
          <w:szCs w:val="32"/>
        </w:rPr>
        <w:t>XX</w:t>
      </w:r>
      <w:r>
        <w:rPr>
          <w:rFonts w:hint="eastAsia" w:ascii="仿宋" w:hAnsi="仿宋" w:eastAsia="仿宋"/>
          <w:sz w:val="32"/>
          <w:szCs w:val="30"/>
        </w:rPr>
        <w:t>年</w:t>
      </w:r>
      <w:r>
        <w:rPr>
          <w:rFonts w:hint="eastAsia" w:ascii="仿宋" w:hAnsi="仿宋" w:eastAsia="仿宋"/>
          <w:kern w:val="0"/>
          <w:sz w:val="32"/>
          <w:szCs w:val="32"/>
        </w:rPr>
        <w:t>X</w:t>
      </w:r>
      <w:r>
        <w:rPr>
          <w:rFonts w:hint="eastAsia" w:ascii="仿宋" w:hAnsi="仿宋" w:eastAsia="仿宋"/>
          <w:sz w:val="32"/>
          <w:szCs w:val="30"/>
        </w:rPr>
        <w:t>月</w:t>
      </w:r>
      <w:r>
        <w:rPr>
          <w:rFonts w:hint="eastAsia" w:ascii="仿宋" w:hAnsi="仿宋" w:eastAsia="仿宋"/>
          <w:kern w:val="0"/>
          <w:sz w:val="32"/>
          <w:szCs w:val="32"/>
        </w:rPr>
        <w:t>X</w:t>
      </w:r>
      <w:r>
        <w:rPr>
          <w:rFonts w:hint="eastAsia" w:ascii="仿宋" w:hAnsi="仿宋" w:eastAsia="仿宋"/>
          <w:sz w:val="32"/>
          <w:szCs w:val="30"/>
        </w:rPr>
        <w:t>日</w:t>
      </w:r>
      <w:r>
        <w:rPr>
          <w:rFonts w:hint="eastAsia" w:ascii="仿宋" w:hAnsi="仿宋" w:eastAsia="仿宋"/>
          <w:color w:val="000000"/>
          <w:sz w:val="32"/>
          <w:szCs w:val="32"/>
        </w:rPr>
        <w:t>进入退市整理期交易。</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一、公司股票在退市整理期间的证券代码、证券简称及涨跌幅限制</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1.证券代码</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2.证券简称</w:t>
      </w:r>
    </w:p>
    <w:p>
      <w:pPr>
        <w:autoSpaceDE w:val="0"/>
        <w:autoSpaceDN w:val="0"/>
        <w:adjustRightInd w:val="0"/>
        <w:spacing w:line="56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3.涨跌幅限制</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二、公司股票退市整理期交易起始日及交易期限</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说明公司股票进入退市整理期的起始日、交易期限及预计最后交易日期、退市整理期首日及后续交易日涨跌幅限制、公司股票于退市整理期届满的次一交易日摘牌等内容，同时还应当说明公司股票在退市整理期内全天停牌的，停牌期间不计入退市整理期、退市整理期间风险提示公告的披露安排等。</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三、退市整理期风险提示公告的披露安排</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司于股票在退市整理期交易首日发布公司股票已被深圳证券交易所作出终止上市决定的风险提示公告；每五个交易日发布一次股票将被终止上市的风险提示公告，在最后五个交易日内每日发布一次股票将被终止上市的风险提示公告。</w:t>
      </w:r>
    </w:p>
    <w:p>
      <w:pPr>
        <w:widowControl/>
        <w:adjustRightInd w:val="0"/>
        <w:snapToGrid w:val="0"/>
        <w:spacing w:line="560" w:lineRule="exact"/>
        <w:ind w:firstLine="643" w:firstLineChars="200"/>
        <w:jc w:val="left"/>
        <w:rPr>
          <w:rFonts w:ascii="仿宋" w:hAnsi="仿宋" w:eastAsia="仿宋" w:cs="宋体"/>
          <w:bCs/>
          <w:kern w:val="0"/>
          <w:sz w:val="32"/>
          <w:szCs w:val="32"/>
        </w:rPr>
      </w:pPr>
      <w:r>
        <w:rPr>
          <w:rFonts w:hint="eastAsia" w:ascii="仿宋" w:hAnsi="仿宋" w:eastAsia="仿宋" w:cs="宋体"/>
          <w:b/>
          <w:bCs/>
          <w:kern w:val="0"/>
          <w:sz w:val="32"/>
          <w:szCs w:val="32"/>
        </w:rPr>
        <w:t>四、公司股票在退市整理期交易期间公司将不筹划或者实施重大资产重组事宜的说明</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根据《股票上市规则》的相关规定，公司股票在退市整理期交易期间，公司将不筹划或实施重大资产重组事宜。</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五、其他重要提示</w:t>
      </w:r>
    </w:p>
    <w:p>
      <w:pPr>
        <w:widowControl/>
        <w:adjustRightInd w:val="0"/>
        <w:snapToGrid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b/>
          <w:color w:val="000000"/>
          <w:sz w:val="32"/>
          <w:szCs w:val="32"/>
        </w:rPr>
        <w:t>六、备查文件</w:t>
      </w:r>
    </w:p>
    <w:p>
      <w:pPr>
        <w:widowControl/>
        <w:adjustRightInd w:val="0"/>
        <w:snapToGrid w:val="0"/>
        <w:spacing w:line="560" w:lineRule="exact"/>
        <w:jc w:val="left"/>
        <w:rPr>
          <w:rFonts w:ascii="仿宋" w:hAnsi="仿宋" w:eastAsia="仿宋" w:cs="宋体"/>
          <w:b/>
          <w:bCs/>
          <w:kern w:val="0"/>
          <w:sz w:val="32"/>
          <w:szCs w:val="32"/>
        </w:rPr>
      </w:pPr>
    </w:p>
    <w:p>
      <w:pPr>
        <w:widowControl/>
        <w:adjustRightInd w:val="0"/>
        <w:snapToGrid w:val="0"/>
        <w:spacing w:line="560" w:lineRule="exact"/>
        <w:jc w:val="left"/>
        <w:rPr>
          <w:rFonts w:ascii="仿宋" w:hAnsi="仿宋" w:eastAsia="仿宋" w:cs="宋体"/>
          <w:b/>
          <w:bCs/>
          <w:kern w:val="0"/>
          <w:sz w:val="32"/>
          <w:szCs w:val="32"/>
        </w:rPr>
      </w:pPr>
    </w:p>
    <w:p>
      <w:pPr>
        <w:adjustRightInd w:val="0"/>
        <w:snapToGrid w:val="0"/>
        <w:spacing w:before="156" w:beforeLines="50" w:after="156"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XXXX股份有限公司</w:t>
      </w:r>
    </w:p>
    <w:p>
      <w:pPr>
        <w:adjustRightInd w:val="0"/>
        <w:snapToGrid w:val="0"/>
        <w:spacing w:before="156" w:beforeLines="50" w:after="156" w:afterLines="50" w:line="560" w:lineRule="exact"/>
        <w:ind w:firstLine="640" w:firstLineChars="200"/>
        <w:jc w:val="right"/>
        <w:rPr>
          <w:rFonts w:ascii="仿宋" w:hAnsi="仿宋" w:eastAsia="仿宋"/>
          <w:bCs/>
          <w:sz w:val="32"/>
          <w:szCs w:val="32"/>
        </w:rPr>
      </w:pPr>
      <w:r>
        <w:rPr>
          <w:rFonts w:hint="eastAsia" w:ascii="仿宋" w:hAnsi="仿宋" w:eastAsia="仿宋"/>
          <w:bCs/>
          <w:sz w:val="32"/>
          <w:szCs w:val="32"/>
        </w:rPr>
        <w:t>年  月  日</w:t>
      </w:r>
    </w:p>
    <w:p>
      <w:pPr>
        <w:widowControl/>
        <w:jc w:val="left"/>
        <w:rPr>
          <w:rFonts w:ascii="方正仿宋简体" w:hAnsi="仿宋" w:eastAsia="方正仿宋简体"/>
          <w:bCs/>
          <w:sz w:val="30"/>
          <w:szCs w:val="30"/>
        </w:rPr>
      </w:pPr>
      <w:r>
        <w:rPr>
          <w:rFonts w:hint="eastAsia" w:ascii="方正仿宋简体" w:hAnsi="仿宋" w:eastAsia="方正仿宋简体"/>
          <w:bCs/>
          <w:sz w:val="30"/>
          <w:szCs w:val="30"/>
        </w:rPr>
        <w:br w:type="page"/>
      </w:r>
    </w:p>
    <w:p>
      <w:pPr>
        <w:keepNext/>
        <w:keepLines/>
        <w:spacing w:before="340" w:line="560" w:lineRule="exact"/>
        <w:jc w:val="center"/>
        <w:outlineLvl w:val="2"/>
        <w:rPr>
          <w:rFonts w:ascii="方正小标宋简体" w:hAnsi="Times New Roman" w:eastAsia="方正小标宋简体"/>
          <w:kern w:val="44"/>
          <w:sz w:val="44"/>
          <w:szCs w:val="44"/>
        </w:rPr>
      </w:pPr>
      <w:bookmarkStart w:id="473" w:name="_Toc7256"/>
      <w:bookmarkStart w:id="474" w:name="_Toc138173259"/>
      <w:r>
        <w:rPr>
          <w:rFonts w:hint="eastAsia" w:ascii="方正小标宋简体" w:hAnsi="Times New Roman" w:eastAsia="方正小标宋简体"/>
          <w:kern w:val="44"/>
          <w:sz w:val="44"/>
          <w:szCs w:val="44"/>
        </w:rPr>
        <w:t>退市类第4号　上市公司股票</w:t>
      </w:r>
      <w:r>
        <w:rPr>
          <w:rFonts w:hint="eastAsia" w:ascii="方正小标宋简体" w:hAnsi="Times New Roman" w:eastAsia="方正小标宋简体"/>
          <w:kern w:val="44"/>
          <w:sz w:val="44"/>
          <w:szCs w:val="44"/>
        </w:rPr>
        <w:br w:type="textWrapping"/>
      </w:r>
      <w:r>
        <w:rPr>
          <w:rFonts w:hint="eastAsia" w:ascii="方正小标宋简体" w:hAnsi="Times New Roman" w:eastAsia="方正小标宋简体"/>
          <w:kern w:val="44"/>
          <w:sz w:val="44"/>
          <w:szCs w:val="44"/>
        </w:rPr>
        <w:t>终止上市暨摘牌公告格式</w:t>
      </w:r>
      <w:bookmarkEnd w:id="473"/>
      <w:bookmarkEnd w:id="474"/>
    </w:p>
    <w:p>
      <w:pPr>
        <w:overflowPunct w:val="0"/>
        <w:autoSpaceDE w:val="0"/>
        <w:autoSpaceDN w:val="0"/>
        <w:adjustRightInd w:val="0"/>
        <w:spacing w:line="560" w:lineRule="exact"/>
        <w:ind w:firstLine="420"/>
        <w:rPr>
          <w:rFonts w:ascii="Times New Roman" w:hAnsi="Times New Roman" w:eastAsia="方正仿宋简体"/>
          <w:b/>
          <w:kern w:val="0"/>
          <w:sz w:val="32"/>
          <w:szCs w:val="32"/>
        </w:rPr>
      </w:pPr>
    </w:p>
    <w:p>
      <w:pPr>
        <w:adjustRightInd w:val="0"/>
        <w:snapToGrid w:val="0"/>
        <w:spacing w:line="560" w:lineRule="exact"/>
        <w:rPr>
          <w:rFonts w:ascii="仿宋" w:hAnsi="仿宋" w:eastAsia="仿宋"/>
          <w:sz w:val="32"/>
          <w:szCs w:val="30"/>
        </w:rPr>
      </w:pPr>
      <w:r>
        <w:rPr>
          <w:rFonts w:hint="eastAsia" w:ascii="仿宋" w:hAnsi="仿宋" w:eastAsia="仿宋"/>
          <w:sz w:val="32"/>
          <w:szCs w:val="30"/>
        </w:rPr>
        <w:t>证券代码：             证券简称：          公告编号：</w:t>
      </w:r>
    </w:p>
    <w:p>
      <w:pPr>
        <w:snapToGrid w:val="0"/>
        <w:spacing w:line="560" w:lineRule="exact"/>
        <w:jc w:val="center"/>
        <w:rPr>
          <w:rFonts w:ascii="仿宋" w:hAnsi="仿宋" w:eastAsia="仿宋"/>
          <w:color w:val="000000"/>
          <w:sz w:val="32"/>
          <w:szCs w:val="30"/>
        </w:rPr>
      </w:pPr>
      <w:r>
        <w:rPr>
          <w:rFonts w:hint="eastAsia" w:ascii="仿宋" w:hAnsi="仿宋" w:eastAsia="仿宋"/>
          <w:color w:val="000000"/>
          <w:sz w:val="32"/>
          <w:szCs w:val="30"/>
        </w:rPr>
        <w:t>XXXX股份有限公司股票终止上市暨摘牌的公告</w:t>
      </w: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0"/>
          <w:szCs w:val="30"/>
        </w:rPr>
        <w:t xml:space="preserve">    </w:t>
      </w:r>
      <w:r>
        <w:rPr>
          <w:rFonts w:hint="eastAsia" w:ascii="仿宋" w:hAnsi="仿宋" w:eastAsia="仿宋"/>
          <w:color w:val="000000"/>
          <w:sz w:val="32"/>
          <w:szCs w:val="30"/>
        </w:rPr>
        <w:t>本公司及董事会全体成员（或除董事XXX、XXX外的董事会全体成员）保证信息披露的内容真实、准确、完整，没有虚假记载、误导性陈述或重大遗漏。</w:t>
      </w:r>
    </w:p>
    <w:p>
      <w:pPr>
        <w:pBdr>
          <w:top w:val="single" w:color="auto" w:sz="4" w:space="1"/>
          <w:left w:val="single" w:color="auto" w:sz="4" w:space="4"/>
          <w:bottom w:val="single" w:color="auto" w:sz="4" w:space="2"/>
          <w:right w:val="single" w:color="auto" w:sz="4" w:space="4"/>
        </w:pBdr>
        <w:adjustRightInd w:val="0"/>
        <w:spacing w:line="560" w:lineRule="exact"/>
        <w:rPr>
          <w:rFonts w:ascii="仿宋" w:hAnsi="仿宋" w:eastAsia="仿宋"/>
          <w:color w:val="000000"/>
          <w:sz w:val="32"/>
          <w:szCs w:val="30"/>
        </w:rPr>
      </w:pPr>
      <w:r>
        <w:rPr>
          <w:rFonts w:hint="eastAsia" w:ascii="仿宋" w:hAnsi="仿宋" w:eastAsia="仿宋"/>
          <w:color w:val="000000"/>
          <w:sz w:val="32"/>
          <w:szCs w:val="30"/>
        </w:rPr>
        <w:t xml:space="preserve">    董事XXX因（具体和明确的理由）不能保证公告内容真实、准确、完整。</w:t>
      </w:r>
    </w:p>
    <w:p>
      <w:pPr>
        <w:autoSpaceDE w:val="0"/>
        <w:autoSpaceDN w:val="0"/>
        <w:adjustRightIn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1.（存在退市整理期的退市情形适用）公司股票已被深圳证券交易所决定终止上市，公司股票于20XX年X月X日进入退市整理期，在退市整理期交易十五个交易日，最后交易日为20XX年X月X日。 </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2.公司股票已被深圳证券交易所决定终止上市，将在20XX年X月X日被摘牌。</w:t>
      </w:r>
    </w:p>
    <w:p>
      <w:pPr>
        <w:autoSpaceDE w:val="0"/>
        <w:autoSpaceDN w:val="0"/>
        <w:adjustRightInd w:val="0"/>
        <w:spacing w:line="560" w:lineRule="exact"/>
        <w:ind w:firstLine="640" w:firstLineChars="200"/>
        <w:rPr>
          <w:rFonts w:ascii="仿宋" w:hAnsi="仿宋" w:eastAsia="仿宋"/>
          <w:color w:val="000000"/>
          <w:sz w:val="32"/>
          <w:szCs w:val="32"/>
        </w:rPr>
      </w:pP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20XX年X月X日，</w:t>
      </w:r>
      <w:r>
        <w:rPr>
          <w:rFonts w:hint="eastAsia" w:ascii="仿宋" w:hAnsi="仿宋" w:eastAsia="仿宋"/>
          <w:color w:val="000000"/>
          <w:sz w:val="32"/>
          <w:szCs w:val="32"/>
        </w:rPr>
        <w:t>本公司收到深圳证券交易所《关于终止XXXX股份有限公司股票上市的决定》（深证上〔20 X X〕X号）。鉴于公司股票被深圳证券交易所决定终止上市，根据《股票上市规则》《关于退市公司进入退市板块挂牌转让的实施办法》等的相关规定，公司应当在股票被终止上市后及时做好相关工作，以确保公司股份在摘牌后四十五个交易日内可以进入全国中小企业股份转让系统有限责任公司依托原证券公司代办股份转让系统设立并代为管理的两网公司及退市公司板块（以下简称“退市板块”）挂牌转让。</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一、终止上市股票的证券种类、简称、代码、终止上市决定日期、摘牌日期</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1.证券种类</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2.证券代码</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 xml:space="preserve">3.证券简称 </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4.终止上市决定日期</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5.摘牌日期</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二、终止上市决定的主要内容</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本部分应当披露收到深圳证券交易所关于公司股票终止上市决定的主要内容。</w:t>
      </w:r>
    </w:p>
    <w:p>
      <w:pPr>
        <w:widowControl/>
        <w:adjustRightInd w:val="0"/>
        <w:snapToGrid w:val="0"/>
        <w:spacing w:line="560" w:lineRule="exact"/>
        <w:ind w:firstLine="643" w:firstLineChars="200"/>
        <w:jc w:val="left"/>
        <w:rPr>
          <w:rFonts w:ascii="仿宋" w:hAnsi="仿宋" w:eastAsia="仿宋"/>
          <w:b/>
          <w:bCs/>
          <w:kern w:val="0"/>
          <w:sz w:val="32"/>
          <w:szCs w:val="32"/>
        </w:rPr>
      </w:pPr>
      <w:r>
        <w:rPr>
          <w:rFonts w:hint="eastAsia" w:ascii="仿宋" w:hAnsi="仿宋" w:eastAsia="仿宋"/>
          <w:b/>
          <w:bCs/>
          <w:kern w:val="0"/>
          <w:sz w:val="32"/>
          <w:szCs w:val="32"/>
        </w:rPr>
        <w:t>三、摘牌后股份确权、登记和托管等事宜</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本部分主要提示投资者确认或申报拟在退市板块使用的证券账户，并明确股票进入退市板块挂牌转让涉及的股份确权、登记和托管等相关安排，包括：</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1.披露主办券商的名称、确定主办券商的方式、签订委托股份转让协议的情况；</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2.根据《关于退市公司进入退市板块挂牌转让的实施办法》，退市登记业务办理期间由主办券商负责登记退市公司股份，并办理股份确权、协助执法等业务。</w:t>
      </w:r>
    </w:p>
    <w:p>
      <w:pPr>
        <w:spacing w:line="560" w:lineRule="exact"/>
        <w:ind w:firstLine="640" w:firstLineChars="200"/>
        <w:rPr>
          <w:rFonts w:ascii="Times New Roman" w:hAnsi="Times New Roman" w:eastAsia="仿宋" w:cs="仿宋"/>
          <w:sz w:val="32"/>
          <w:szCs w:val="32"/>
        </w:rPr>
      </w:pPr>
      <w:r>
        <w:rPr>
          <w:rFonts w:hint="eastAsia" w:ascii="仿宋" w:hAnsi="仿宋" w:eastAsia="仿宋"/>
          <w:color w:val="000000"/>
          <w:sz w:val="32"/>
          <w:szCs w:val="32"/>
        </w:rPr>
        <w:t>3.</w:t>
      </w:r>
      <w:r>
        <w:rPr>
          <w:rFonts w:hint="eastAsia" w:ascii="Times New Roman" w:hAnsi="Times New Roman" w:eastAsia="仿宋" w:cs="仿宋"/>
          <w:sz w:val="32"/>
          <w:szCs w:val="32"/>
        </w:rPr>
        <w:t>公司在股票摘牌前派发的现金红利，因投资者股份被质押、司法冻结或者股份未托管等原因暂未发放给投资者的（如有），公司在股票摘牌后继续委托中国证券登记结算有限责任公司（以下简称中国结算）保管和发放。</w:t>
      </w:r>
    </w:p>
    <w:p>
      <w:pPr>
        <w:spacing w:line="56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对于因质押、司法冻结原因未派发给投资者的现金红利，自股票摘牌至主办券商在退市板块申请初始登记前，质权人、有权机关等可通过主办券商申请办理该部分现金红利的解除质押、协助执法等业务，也可通过中国结算深圳分公司柜台、最高院查控网和券商渠道申请办理。因股份未托管等原因未派发的现金红利，投资者可通过中国结算北京分公司或深圳分公司申领。</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4.公司股票摘牌后至完成退市板块初始登记期间，请投资者不要注销拟在退市板块使用的证券账户，否则可能导致股份无法按时完成退市板块的登记、影响后续股份转让。</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5.请投资者持续关注托管券商通知和主办券商发布的股份确权公告，并按上述通知和公告的时间要求，尽快联系托管券商或主办券商完成股份确权手续，并办理加挂资金账户等交易结算手续。</w:t>
      </w:r>
    </w:p>
    <w:p>
      <w:pPr>
        <w:overflowPunct w:val="0"/>
        <w:autoSpaceDE w:val="0"/>
        <w:autoSpaceDN w:val="0"/>
        <w:adjustRightInd w:val="0"/>
        <w:spacing w:line="56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四、公司股票摘牌后至在退市板块挂牌前的信息披露</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由公司聘请的主办券商在全国股份转让系统网站（</w:t>
      </w:r>
      <w:r>
        <w:fldChar w:fldCharType="begin"/>
      </w:r>
      <w:r>
        <w:instrText xml:space="preserve"> HYPERLINK "http://www.neeq.com.cn" </w:instrText>
      </w:r>
      <w:r>
        <w:fldChar w:fldCharType="separate"/>
      </w:r>
      <w:r>
        <w:rPr>
          <w:rStyle w:val="71"/>
          <w:rFonts w:hint="eastAsia" w:ascii="仿宋" w:hAnsi="仿宋" w:eastAsia="仿宋"/>
          <w:kern w:val="0"/>
          <w:sz w:val="32"/>
          <w:szCs w:val="32"/>
        </w:rPr>
        <w:t>www.neeq.com.cn</w:t>
      </w:r>
      <w:r>
        <w:rPr>
          <w:rStyle w:val="71"/>
          <w:rFonts w:hint="eastAsia" w:ascii="仿宋" w:hAnsi="仿宋" w:eastAsia="仿宋"/>
          <w:kern w:val="0"/>
          <w:sz w:val="32"/>
          <w:szCs w:val="32"/>
        </w:rPr>
        <w:fldChar w:fldCharType="end"/>
      </w:r>
      <w:r>
        <w:rPr>
          <w:rFonts w:hint="eastAsia" w:ascii="仿宋" w:hAnsi="仿宋" w:eastAsia="仿宋"/>
          <w:color w:val="000000"/>
          <w:kern w:val="0"/>
          <w:sz w:val="32"/>
          <w:szCs w:val="32"/>
        </w:rPr>
        <w:t>）代为披露。</w:t>
      </w:r>
    </w:p>
    <w:p>
      <w:pPr>
        <w:widowControl/>
        <w:adjustRightInd w:val="0"/>
        <w:snapToGrid w:val="0"/>
        <w:spacing w:line="560" w:lineRule="exact"/>
        <w:ind w:firstLine="643" w:firstLineChars="200"/>
        <w:jc w:val="left"/>
        <w:rPr>
          <w:rFonts w:ascii="仿宋" w:hAnsi="仿宋" w:eastAsia="仿宋"/>
          <w:bCs/>
          <w:kern w:val="0"/>
          <w:sz w:val="32"/>
          <w:szCs w:val="32"/>
        </w:rPr>
      </w:pPr>
      <w:r>
        <w:rPr>
          <w:rFonts w:hint="eastAsia" w:ascii="仿宋" w:hAnsi="仿宋" w:eastAsia="仿宋"/>
          <w:b/>
          <w:bCs/>
          <w:kern w:val="0"/>
          <w:sz w:val="32"/>
          <w:szCs w:val="32"/>
        </w:rPr>
        <w:t>五、终止上市后公司的联系人、联系地址、电话和其他通讯方式</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1.联系人</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2.联系地址</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3.咨询电话</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4.传真</w:t>
      </w:r>
    </w:p>
    <w:p>
      <w:pPr>
        <w:autoSpaceDE w:val="0"/>
        <w:autoSpaceDN w:val="0"/>
        <w:adjustRightIn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5.电子信箱</w:t>
      </w:r>
    </w:p>
    <w:p>
      <w:pPr>
        <w:autoSpaceDE w:val="0"/>
        <w:autoSpaceDN w:val="0"/>
        <w:adjustRightInd w:val="0"/>
        <w:spacing w:line="560" w:lineRule="exact"/>
        <w:ind w:firstLine="617" w:firstLineChars="192"/>
        <w:jc w:val="left"/>
        <w:rPr>
          <w:rFonts w:ascii="仿宋" w:hAnsi="仿宋" w:eastAsia="仿宋"/>
          <w:b/>
          <w:color w:val="000000"/>
          <w:sz w:val="32"/>
          <w:szCs w:val="32"/>
        </w:rPr>
      </w:pPr>
      <w:r>
        <w:rPr>
          <w:rFonts w:hint="eastAsia" w:ascii="仿宋" w:hAnsi="仿宋" w:eastAsia="仿宋"/>
          <w:b/>
          <w:color w:val="000000"/>
          <w:sz w:val="32"/>
          <w:szCs w:val="32"/>
        </w:rPr>
        <w:t>六、备查文件</w:t>
      </w:r>
    </w:p>
    <w:p>
      <w:pPr>
        <w:autoSpaceDE w:val="0"/>
        <w:autoSpaceDN w:val="0"/>
        <w:adjustRightInd w:val="0"/>
        <w:spacing w:line="560" w:lineRule="exact"/>
        <w:ind w:firstLine="614" w:firstLineChars="192"/>
        <w:jc w:val="left"/>
        <w:rPr>
          <w:rFonts w:ascii="仿宋" w:hAnsi="仿宋" w:eastAsia="仿宋"/>
          <w:color w:val="000000"/>
          <w:kern w:val="0"/>
          <w:sz w:val="32"/>
          <w:szCs w:val="32"/>
        </w:rPr>
      </w:pPr>
    </w:p>
    <w:p>
      <w:pPr>
        <w:autoSpaceDE w:val="0"/>
        <w:autoSpaceDN w:val="0"/>
        <w:adjustRightInd w:val="0"/>
        <w:spacing w:line="560" w:lineRule="exact"/>
        <w:jc w:val="right"/>
        <w:rPr>
          <w:rFonts w:ascii="仿宋" w:hAnsi="仿宋" w:eastAsia="仿宋"/>
          <w:color w:val="000000"/>
          <w:kern w:val="0"/>
          <w:sz w:val="32"/>
          <w:szCs w:val="32"/>
        </w:rPr>
      </w:pPr>
      <w:r>
        <w:rPr>
          <w:rFonts w:hint="eastAsia" w:ascii="仿宋" w:hAnsi="仿宋" w:eastAsia="仿宋"/>
          <w:color w:val="000000"/>
          <w:kern w:val="0"/>
          <w:sz w:val="32"/>
          <w:szCs w:val="32"/>
        </w:rPr>
        <w:t>XXXX股份有限公司董事会</w:t>
      </w:r>
    </w:p>
    <w:p>
      <w:pPr>
        <w:spacing w:line="560" w:lineRule="exact"/>
        <w:jc w:val="right"/>
        <w:rPr>
          <w:rFonts w:ascii="仿宋" w:hAnsi="仿宋" w:eastAsia="仿宋"/>
          <w:color w:val="000000"/>
          <w:kern w:val="0"/>
          <w:sz w:val="32"/>
          <w:szCs w:val="32"/>
        </w:rPr>
      </w:pPr>
      <w:r>
        <w:rPr>
          <w:rFonts w:hint="eastAsia" w:ascii="仿宋" w:hAnsi="仿宋" w:eastAsia="仿宋"/>
          <w:color w:val="000000"/>
          <w:kern w:val="0"/>
          <w:sz w:val="32"/>
          <w:szCs w:val="32"/>
        </w:rPr>
        <w:t xml:space="preserve"> 年  月  日</w:t>
      </w:r>
    </w:p>
    <w:p>
      <w:pPr>
        <w:rPr>
          <w:rFonts w:ascii="方正仿宋简体" w:eastAsia="方正仿宋简体"/>
        </w:rPr>
      </w:pP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475" w:name="_Toc40795918"/>
      <w:bookmarkStart w:id="476" w:name="_Toc15391894"/>
      <w:bookmarkStart w:id="477" w:name="_Toc91781185"/>
      <w:bookmarkStart w:id="478" w:name="_Toc1033"/>
      <w:bookmarkStart w:id="479" w:name="_Toc40813190"/>
      <w:bookmarkStart w:id="480" w:name="_Toc138173260"/>
      <w:bookmarkStart w:id="481" w:name="_Toc91782466"/>
      <w:bookmarkStart w:id="482" w:name="_Toc60758260"/>
      <w:bookmarkStart w:id="483" w:name="_Toc91607668"/>
      <w:r>
        <w:rPr>
          <w:rFonts w:hint="eastAsia" w:ascii="方正小标宋简体" w:hAnsi="仿宋" w:eastAsia="方正小标宋简体"/>
          <w:kern w:val="44"/>
          <w:sz w:val="44"/>
          <w:szCs w:val="44"/>
        </w:rPr>
        <w:t>其他事项类第1号　上市公司股票交易</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异常波动</w:t>
      </w:r>
      <w:bookmarkEnd w:id="475"/>
      <w:bookmarkEnd w:id="476"/>
      <w:r>
        <w:rPr>
          <w:rFonts w:hint="eastAsia" w:ascii="方正小标宋简体" w:hAnsi="仿宋" w:eastAsia="方正小标宋简体"/>
          <w:kern w:val="44"/>
          <w:sz w:val="44"/>
          <w:szCs w:val="44"/>
        </w:rPr>
        <w:t>/严重异常波动公告格式</w:t>
      </w:r>
      <w:bookmarkEnd w:id="477"/>
      <w:bookmarkEnd w:id="478"/>
      <w:bookmarkEnd w:id="479"/>
      <w:bookmarkEnd w:id="480"/>
      <w:bookmarkEnd w:id="481"/>
      <w:bookmarkEnd w:id="482"/>
      <w:bookmarkEnd w:id="483"/>
    </w:p>
    <w:p>
      <w:pPr>
        <w:snapToGrid w:val="0"/>
        <w:spacing w:line="560" w:lineRule="exact"/>
        <w:ind w:firstLine="540"/>
        <w:rPr>
          <w:rFonts w:ascii="仿宋" w:hAnsi="仿宋" w:eastAsia="仿宋"/>
          <w:sz w:val="32"/>
          <w:szCs w:val="32"/>
        </w:rPr>
      </w:pPr>
    </w:p>
    <w:p>
      <w:pPr>
        <w:autoSpaceDE w:val="0"/>
        <w:autoSpaceDN w:val="0"/>
        <w:adjustRightInd w:val="0"/>
        <w:spacing w:line="560" w:lineRule="exact"/>
        <w:ind w:firstLine="320" w:firstLineChars="100"/>
        <w:jc w:val="center"/>
        <w:rPr>
          <w:rFonts w:ascii="仿宋" w:hAnsi="仿宋" w:eastAsia="仿宋"/>
          <w:sz w:val="32"/>
          <w:szCs w:val="32"/>
        </w:rPr>
      </w:pPr>
      <w:bookmarkStart w:id="484" w:name="_Toc2189120"/>
      <w:bookmarkStart w:id="485" w:name="_Toc527123122"/>
      <w:bookmarkStart w:id="486" w:name="_Toc2179903"/>
      <w:bookmarkStart w:id="487" w:name="_Toc2189887"/>
      <w:bookmarkStart w:id="488" w:name="_Toc510444118"/>
      <w:bookmarkStart w:id="489" w:name="_Toc430016272"/>
      <w:bookmarkStart w:id="490" w:name="_Toc2348631"/>
      <w:r>
        <w:rPr>
          <w:rFonts w:hint="eastAsia" w:ascii="仿宋" w:hAnsi="仿宋" w:eastAsia="仿宋"/>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XXXXXX股份有限公司股票交易异常波动公告</w:t>
      </w:r>
    </w:p>
    <w:p>
      <w:pPr>
        <w:autoSpaceDE w:val="0"/>
        <w:autoSpaceDN w:val="0"/>
        <w:adjustRightInd w:val="0"/>
        <w:spacing w:line="560" w:lineRule="exact"/>
        <w:ind w:right="360"/>
        <w:rPr>
          <w:rFonts w:ascii="仿宋" w:hAnsi="仿宋" w:eastAsia="仿宋"/>
          <w:kern w:val="0"/>
          <w:sz w:val="32"/>
          <w:szCs w:val="32"/>
        </w:rPr>
      </w:pPr>
      <w:r>
        <w:rPr>
          <w:rFonts w:hint="eastAsia"/>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120650</wp:posOffset>
                </wp:positionV>
                <wp:extent cx="5915025" cy="1628775"/>
                <wp:effectExtent l="0" t="0" r="28575" b="285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5pt;height:128.25pt;width:465.75pt;mso-position-horizontal:center;mso-position-horizontal-relative:margin;z-index:251705344;mso-width-relative:page;mso-height-relative:page;" fillcolor="#FFFFFF" filled="t" stroked="t" coordsize="21600,21600" o:gfxdata="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IbHovWAAAABwEAAA8AAAAAAAAAAQAgAAAAIgAAAGRycy9kb3ducmV2&#10;LnhtbFBLAQIUABQAAAAIAIdO4kCxB0kB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line="560" w:lineRule="exact"/>
        <w:ind w:right="360"/>
        <w:rPr>
          <w:rFonts w:ascii="仿宋" w:hAnsi="仿宋" w:eastAsia="仿宋"/>
          <w:kern w:val="0"/>
          <w:sz w:val="32"/>
          <w:szCs w:val="32"/>
        </w:rPr>
      </w:pPr>
    </w:p>
    <w:p>
      <w:pPr>
        <w:autoSpaceDE w:val="0"/>
        <w:autoSpaceDN w:val="0"/>
        <w:adjustRightInd w:val="0"/>
        <w:spacing w:line="560" w:lineRule="exact"/>
        <w:ind w:right="360"/>
        <w:rPr>
          <w:rFonts w:ascii="仿宋" w:hAnsi="仿宋" w:eastAsia="仿宋"/>
          <w:kern w:val="0"/>
          <w:sz w:val="32"/>
          <w:szCs w:val="32"/>
        </w:rPr>
      </w:pPr>
    </w:p>
    <w:p>
      <w:pPr>
        <w:autoSpaceDE w:val="0"/>
        <w:autoSpaceDN w:val="0"/>
        <w:adjustRightInd w:val="0"/>
        <w:spacing w:line="560" w:lineRule="exact"/>
        <w:ind w:right="360"/>
        <w:rPr>
          <w:rFonts w:ascii="仿宋" w:hAnsi="仿宋" w:eastAsia="仿宋"/>
          <w:sz w:val="32"/>
          <w:szCs w:val="32"/>
        </w:rPr>
      </w:pP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一、股票交易异常波动/严重异常波动的情况介绍</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说明相关证券名称、代码，股票交易异常波动/严重异常波动的具体情形，发生时间等。</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触及本所《交易规则》规定的异常波动标准的，公司可参考以下表述描述股票交易异常情形：①本公司股票连续三个交易日内（列示具体交易日）日收盘价格涨跌幅偏离值累计达到±20％；②（ST和*ST股票适用）本公司股票连续三个交易日内（列示具体交易日）日收盘价格涨跌幅偏离值累计达到±12％；③本公司股票连续三个交易日内日均换手率与前五个交易日的日均换手率的比值达到30倍，并且连续三个交易日内的累计换手率达到20％；④本公司股票交易被深交所认定为其他异常波动；⑤本公司股票交易被中国证监会认定为其他异常波动；⑥本公司接到深交所通知，深交所根据本公司股票及其衍生品种成交量或价格变化，关注本公司是否存在应披露而未披露信息；⑦本公司认为股票交易异常波动。</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触及本所《交易规则》规定的严重异常波动标准的，公司可参考以下表述描述股票交易严重异常情形：①公司股票交易连续10个交易日内4次出现同向股票交易异常波动情形；②公司股票交易连续10个交易日内日收盘价格涨（跌）幅偏离值累计达到+100%（-50%）；③公司股票交易连续30个交易日内日收盘价格涨（跌）幅偏离值累计达到+200%（-70%）；④中国证监会或者本所认定属于严重异常波动的其他情形。如上市公司股票交易出现严重异常波动的多种情形，应当列明出现的所有情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二、说明关注、核实情况</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1．说明关注问题、核实对象、核实方式、核实结论等。关注问题包括不限于：前期披露的信息是否存在需要更正、补充之处；近期公共传媒是否报道了可能或已经对本公司股票交易价格产生较大影响的未公开重大信息；近期公司经营情况及内外部经营环境是否或预计将要发生重大变化；公司、控股股东和实际控制人是否存在关于本公司的应披露而未披露的重大事项，或处于筹划阶段的重大事项，以及股票异常波动期间控股股东、实际控制人是否买卖公司股票。</w:t>
      </w:r>
    </w:p>
    <w:p>
      <w:pPr>
        <w:widowControl/>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spacing w:line="560" w:lineRule="exact"/>
        <w:ind w:firstLine="656" w:firstLineChars="205"/>
        <w:rPr>
          <w:rFonts w:ascii="仿宋" w:hAnsi="仿宋" w:eastAsia="仿宋"/>
          <w:sz w:val="32"/>
          <w:szCs w:val="32"/>
        </w:rPr>
      </w:pPr>
      <w:r>
        <w:rPr>
          <w:rFonts w:hint="eastAsia" w:ascii="仿宋" w:hAnsi="仿宋" w:eastAsia="仿宋"/>
          <w:sz w:val="32"/>
          <w:szCs w:val="32"/>
        </w:rPr>
        <w:t>2．在关注、核实过程中发现涉及其他应披露事项的，要参照相关公告格式对有关事项逐项作出说明和披露。</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3．传闻内容虽未涉及公司未公开重大信息，但可能或已经对公司股票交易价格产生较大影响的，真实、准确、完整的说明相关情况对公司的影响并进行风险提示。中国证监会及本所另有要求的除外。</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若公司股票交易出现严重异常波动情形的，公司或者相关信息披露义务人还应当核查并披露下列事项：</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4．公司是否存在导致股票交易严重异常波动的未披露事项。</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5．公司股价是否严重偏离同行业上市公司合理估值。</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6．公司是否存在重大风险事项。</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7．公司是否存在其他可能导致股票交易严重异常波动的事项。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三、是否存在应披露而未披露信息的说明</w:t>
      </w:r>
    </w:p>
    <w:p>
      <w:pPr>
        <w:spacing w:line="560" w:lineRule="exact"/>
        <w:ind w:firstLine="566" w:firstLineChars="177"/>
        <w:rPr>
          <w:rFonts w:ascii="仿宋" w:hAnsi="仿宋" w:eastAsia="仿宋"/>
          <w:sz w:val="32"/>
          <w:szCs w:val="32"/>
        </w:rPr>
      </w:pPr>
      <w:r>
        <w:rPr>
          <w:rFonts w:hint="eastAsia" w:ascii="仿宋" w:hAnsi="仿宋" w:eastAsia="仿宋"/>
          <w:sz w:val="32"/>
          <w:szCs w:val="32"/>
        </w:rPr>
        <w:t>上市公司董事会履行关注、核实程序并确认不存在前述问题后，作出声明。声明的具体表述为：</w:t>
      </w:r>
    </w:p>
    <w:p>
      <w:pPr>
        <w:spacing w:line="560" w:lineRule="exact"/>
        <w:ind w:firstLine="566" w:firstLineChars="177"/>
        <w:rPr>
          <w:rFonts w:ascii="仿宋" w:hAnsi="仿宋" w:eastAsia="仿宋"/>
          <w:sz w:val="32"/>
          <w:szCs w:val="32"/>
        </w:rPr>
      </w:pPr>
      <w:r>
        <w:rPr>
          <w:rFonts w:hint="eastAsia" w:ascii="仿宋" w:hAnsi="仿宋" w:eastAsia="仿宋"/>
          <w:sz w:val="32"/>
          <w:szCs w:val="32"/>
        </w:rPr>
        <w:t>本公司董事会确认，本公司目前没有任何根据深交所《股票上市规则》等有关规定应予以披露而未披露的事项或与该事项有关的筹划、商谈、意向、协议等；董事会也未获悉本公司有根据深交所《股票上市规则》等有关规定应予以披露而未披露的、对本公司股票及其衍生品种交易价格产生较大影响的信息；公司前期披露的信息不存在需要更正、补充之处。或：本公司董事会确认，除前述事项（指第二部分涉及的披露事项）外，本公司目前没有任何根据深交所《股票上市规则》规定应予以披露而未披露的事项或与该事项有关的筹划、商谈、意向、协议等；董事会也未获悉本公司有根据深交所《股票上市规则》的规定应予以披露而未披露的、对本公司股票及其衍生品种交易价格产生较大影响的信息；公司前期披露的信息不存在需要更正、补充之处。</w:t>
      </w:r>
    </w:p>
    <w:p>
      <w:pPr>
        <w:spacing w:line="560" w:lineRule="exact"/>
        <w:ind w:firstLine="643" w:firstLineChars="200"/>
        <w:rPr>
          <w:rFonts w:ascii="仿宋" w:hAnsi="仿宋" w:eastAsia="仿宋"/>
          <w:b/>
          <w:sz w:val="32"/>
          <w:szCs w:val="32"/>
        </w:rPr>
      </w:pPr>
      <w:bookmarkStart w:id="491" w:name="OLE_LINK120"/>
      <w:bookmarkStart w:id="492" w:name="OLE_LINK121"/>
      <w:r>
        <w:rPr>
          <w:rFonts w:hint="eastAsia" w:ascii="仿宋" w:hAnsi="仿宋" w:eastAsia="仿宋"/>
          <w:b/>
          <w:sz w:val="32"/>
          <w:szCs w:val="32"/>
        </w:rPr>
        <w:t>四、上市公司认为必要的风险提示</w:t>
      </w:r>
    </w:p>
    <w:bookmarkEnd w:id="491"/>
    <w:bookmarkEnd w:id="492"/>
    <w:p>
      <w:pPr>
        <w:spacing w:line="560" w:lineRule="exact"/>
        <w:ind w:firstLine="656" w:firstLineChars="205"/>
        <w:rPr>
          <w:rFonts w:ascii="仿宋" w:hAnsi="仿宋" w:eastAsia="仿宋"/>
          <w:sz w:val="32"/>
          <w:szCs w:val="32"/>
        </w:rPr>
      </w:pPr>
      <w:r>
        <w:rPr>
          <w:rFonts w:hint="eastAsia" w:ascii="仿宋" w:hAnsi="仿宋" w:eastAsia="仿宋"/>
          <w:sz w:val="32"/>
          <w:szCs w:val="32"/>
        </w:rPr>
        <w:t>1．公司应自查是否存在违反信息公平披露的情形，并在公告中予以明确说明。</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2．如果异常波动发生在定期报告披露期间，未披露业绩预告的，公司应说明是否不存在需披露业绩预告的情况；已披露业绩预告、业绩快报的，公司应说明是否不存在应修正情况；若应当披露业绩预告或修正公告的，应当同时进行披露。不存在需披露业绩预告情况的，还应说明未公开的定期业绩信息是否已向除为公司审计的会计师事务所以外的第三方提供；如有，说明相关情况并披露主要财务指标。</w:t>
      </w:r>
    </w:p>
    <w:p>
      <w:pPr>
        <w:spacing w:line="560" w:lineRule="exact"/>
        <w:ind w:firstLine="656" w:firstLineChars="205"/>
        <w:rPr>
          <w:rFonts w:ascii="仿宋" w:hAnsi="仿宋" w:eastAsia="仿宋"/>
          <w:sz w:val="32"/>
          <w:szCs w:val="32"/>
        </w:rPr>
      </w:pPr>
      <w:r>
        <w:rPr>
          <w:rFonts w:hint="eastAsia" w:ascii="仿宋" w:hAnsi="仿宋" w:eastAsia="仿宋"/>
          <w:sz w:val="32"/>
          <w:szCs w:val="32"/>
        </w:rPr>
        <w:t>3．在公告中郑重提醒广大投资者：“《XXXX报》和XXX网站为公司选定的信息披露媒体，公司所有信息均以在上述媒体披露的信息为准，请广大投资者理性投资，注意风险。”</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五、备查文件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1.公司向有关人员的核实函及回函；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480" w:firstLine="343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b/>
          <w:kern w:val="44"/>
          <w:sz w:val="32"/>
          <w:szCs w:val="32"/>
        </w:rPr>
        <w:sectPr>
          <w:type w:val="continuous"/>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493" w:name="_Toc30327"/>
      <w:bookmarkStart w:id="494" w:name="_Toc138173261"/>
      <w:bookmarkStart w:id="495" w:name="_Toc40813191"/>
      <w:bookmarkStart w:id="496" w:name="_Toc91781186"/>
      <w:bookmarkStart w:id="497" w:name="_Toc15391895"/>
      <w:bookmarkStart w:id="498" w:name="_Toc60758261"/>
      <w:bookmarkStart w:id="499" w:name="_Toc91782467"/>
      <w:bookmarkStart w:id="500" w:name="_Toc40795919"/>
      <w:bookmarkStart w:id="501" w:name="_Toc91607669"/>
      <w:r>
        <w:rPr>
          <w:rFonts w:hint="eastAsia" w:ascii="方正小标宋简体" w:hAnsi="仿宋" w:eastAsia="方正小标宋简体"/>
          <w:kern w:val="44"/>
          <w:sz w:val="44"/>
          <w:szCs w:val="44"/>
        </w:rPr>
        <w:t>其他事项类第2号　上市公司澄清公告格式</w:t>
      </w:r>
      <w:bookmarkEnd w:id="484"/>
      <w:bookmarkEnd w:id="485"/>
      <w:bookmarkEnd w:id="486"/>
      <w:bookmarkEnd w:id="487"/>
      <w:bookmarkEnd w:id="488"/>
      <w:bookmarkEnd w:id="489"/>
      <w:bookmarkEnd w:id="490"/>
      <w:bookmarkEnd w:id="493"/>
      <w:bookmarkEnd w:id="494"/>
      <w:bookmarkEnd w:id="495"/>
      <w:bookmarkEnd w:id="496"/>
      <w:bookmarkEnd w:id="497"/>
      <w:bookmarkEnd w:id="498"/>
      <w:bookmarkEnd w:id="499"/>
      <w:bookmarkEnd w:id="500"/>
      <w:bookmarkEnd w:id="501"/>
    </w:p>
    <w:p>
      <w:pPr>
        <w:snapToGrid w:val="0"/>
        <w:spacing w:line="560" w:lineRule="exact"/>
        <w:rPr>
          <w:rFonts w:ascii="仿宋" w:hAnsi="仿宋" w:eastAsia="仿宋"/>
          <w:sz w:val="32"/>
          <w:szCs w:val="32"/>
        </w:rPr>
      </w:pPr>
    </w:p>
    <w:p>
      <w:pPr>
        <w:autoSpaceDE w:val="0"/>
        <w:autoSpaceDN w:val="0"/>
        <w:adjustRightInd w:val="0"/>
        <w:spacing w:line="560" w:lineRule="exact"/>
        <w:ind w:firstLine="566" w:firstLineChars="177"/>
        <w:jc w:val="center"/>
        <w:rPr>
          <w:rFonts w:ascii="仿宋" w:hAnsi="仿宋" w:eastAsia="仿宋"/>
          <w:sz w:val="32"/>
          <w:szCs w:val="32"/>
        </w:rPr>
      </w:pPr>
      <w:r>
        <w:rPr>
          <w:rFonts w:hint="eastAsia" w:ascii="仿宋" w:hAnsi="仿宋" w:eastAsia="仿宋"/>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XXXXXX股份有限公司澄清公告</w:t>
      </w:r>
    </w:p>
    <w:p>
      <w:pPr>
        <w:snapToGrid w:val="0"/>
        <w:spacing w:line="560" w:lineRule="exact"/>
        <w:jc w:val="center"/>
        <w:rPr>
          <w:rFonts w:ascii="仿宋" w:hAnsi="仿宋" w:eastAsia="仿宋"/>
          <w:sz w:val="32"/>
          <w:szCs w:val="32"/>
        </w:rPr>
      </w:pPr>
      <w:r>
        <w:rPr>
          <w:rFonts w:hint="eastAsia"/>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76200</wp:posOffset>
                </wp:positionV>
                <wp:extent cx="5915025" cy="1628775"/>
                <wp:effectExtent l="0" t="0" r="28575" b="2857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6pt;height:128.25pt;width:465.75pt;mso-position-horizontal:center;mso-position-horizontal-relative:margin;z-index:251706368;mso-width-relative:page;mso-height-relative:page;" fillcolor="#FFFFFF" filled="t" stroked="t" coordsize="21600,21600" o:gfxdata="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BkHFjWAAAABwEAAA8AAAAAAAAAAQAgAAAAIgAAAGRycy9kb3ducmV2&#10;LnhtbFBLAQIUABQAAAAIAIdO4kDMIfZcNwIAAH0EAAAOAAAAAAAAAAEAIAAAACUBAABkcnMvZTJv&#10;RG9jLnhtbFBLBQYAAAAABgAGAFkBAADO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line="560" w:lineRule="exact"/>
        <w:jc w:val="center"/>
        <w:rPr>
          <w:rFonts w:ascii="仿宋" w:hAnsi="仿宋" w:eastAsia="仿宋"/>
          <w:b/>
          <w:sz w:val="32"/>
          <w:szCs w:val="32"/>
        </w:rPr>
      </w:pPr>
    </w:p>
    <w:p>
      <w:pPr>
        <w:snapToGrid w:val="0"/>
        <w:spacing w:line="560" w:lineRule="exact"/>
        <w:jc w:val="center"/>
        <w:rPr>
          <w:rFonts w:ascii="仿宋" w:hAnsi="仿宋" w:eastAsia="仿宋"/>
          <w:b/>
          <w:sz w:val="32"/>
          <w:szCs w:val="32"/>
        </w:rPr>
      </w:pPr>
    </w:p>
    <w:p>
      <w:pPr>
        <w:snapToGrid w:val="0"/>
        <w:spacing w:line="560" w:lineRule="exact"/>
        <w:jc w:val="center"/>
        <w:rPr>
          <w:rFonts w:ascii="仿宋" w:hAnsi="仿宋" w:eastAsia="仿宋"/>
          <w:b/>
          <w:sz w:val="32"/>
          <w:szCs w:val="32"/>
        </w:rPr>
      </w:pPr>
    </w:p>
    <w:p>
      <w:pPr>
        <w:snapToGrid w:val="0"/>
        <w:spacing w:line="560" w:lineRule="exact"/>
        <w:jc w:val="center"/>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一、传闻情况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简要说明传闻涉及媒体名称、传播时间、媒体报道或研究报告署名单位和个人、文章标题、主要涉及事项等。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传闻（2）：……</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传闻情况部分应注意：①传闻涉及事项应分条说明；②传闻较多或传闻篇幅较大的，应经归纳、提炼后说明要点及涉及的相关媒体、传播时间等。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二、澄清说明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经核实，本公司针对上述传闻事项说明如下：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传闻（1）是否属实，公司相关真实情况。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传闻（2）是否属实，公司相关真实情况。</w:t>
      </w:r>
    </w:p>
    <w:p>
      <w:pPr>
        <w:spacing w:line="560" w:lineRule="exact"/>
        <w:ind w:firstLine="640" w:firstLineChars="200"/>
        <w:rPr>
          <w:rFonts w:ascii="仿宋" w:hAnsi="仿宋" w:eastAsia="仿宋"/>
          <w:b/>
          <w:i/>
          <w:sz w:val="32"/>
          <w:szCs w:val="32"/>
        </w:rPr>
      </w:pPr>
      <w:r>
        <w:rPr>
          <w:rFonts w:hint="eastAsia" w:ascii="仿宋" w:hAnsi="仿宋" w:eastAsia="仿宋"/>
          <w:sz w:val="32"/>
          <w:szCs w:val="32"/>
        </w:rPr>
        <w:t>公司如在澄清公告中披露不存在重大资产重组、收购、发行股份等行为的，应同时承诺至少3个月内不再筹划同一事项。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澄清说明部分应注意：①上市公司董事会应针对传闻的起因、传闻内容是否属实、结论能否成立、传闻的影响、相关责任人等事项进行认真调查、核实；②针对传闻事项逐条说明；③传闻与事实不符的，应同时说明相关事项当前状态、未来可能的发展、对公司影响及其他可能影响投资者判断的信息；④传闻涉及分析的，说明假设条件是否成立、逻辑推理是否严谨、结论是否成立；⑤确有充分理由无法判断传闻是否属实的，应说明前期查实情况、无法判断的理由、有无进一步查实的计划等；⑥传闻涉及筹划中的重大事项，应说明该事项目前的基本情况、后续计划及不确定性；⑦传闻涉及已披露信息的，公告可以提示披露媒体、时间、标题，方便投资者查阅，也可以在突出澄清重点的原则下复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传闻与上市公司以外的第三方有关的，公司应在履行必要的核实程序后作出说明。</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三、其他说明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1．因上市公司或其他信息披露义务人违反信息披露原则而产生传闻的，说明违反信息披露原则的情形及责任追究情况（如适用）。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2．因媒体、证券分析师误解而产生传闻的，公司应在澄清公告中对媒体、证券分析师纠正情况进行说明，并提请投资者予以关注（如适用）。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因相关机构或个人散布谣言、报道误导性消息、发布误导性分析结果而产生传闻的，公司应明确说明对相关机构或个人散布谣言、报道误导性消息、发布误导性分析结果的立场和观点。公司可以谴责相关当事人不负责任的行为，声明保留追究法律责任的权利（如适用）。</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四、必要的提示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1．与传闻涉及事项有关的风险提示（如适用）。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2．无法判断传闻是否属实的风险提示（如适用）。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3．公司认为必要的其他风险提示（如适用）。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4．《XXXX报》（或XXX网站）……为本公司选定的信息披露媒体，公司所有信息均以公司在上述媒体披露的公告为准。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五、备查文件</w:t>
      </w:r>
    </w:p>
    <w:p>
      <w:pPr>
        <w:spacing w:line="560" w:lineRule="exact"/>
        <w:ind w:firstLine="643" w:firstLineChars="200"/>
        <w:rPr>
          <w:rFonts w:ascii="仿宋" w:hAnsi="仿宋" w:eastAsia="仿宋"/>
          <w:b/>
          <w:sz w:val="32"/>
          <w:szCs w:val="32"/>
        </w:rPr>
      </w:pPr>
    </w:p>
    <w:p>
      <w:pPr>
        <w:spacing w:line="560" w:lineRule="exact"/>
        <w:ind w:firstLine="643" w:firstLineChars="200"/>
        <w:rPr>
          <w:rFonts w:ascii="仿宋" w:hAnsi="仿宋" w:eastAsia="仿宋"/>
          <w:b/>
          <w:sz w:val="32"/>
          <w:szCs w:val="32"/>
        </w:rPr>
      </w:pPr>
    </w:p>
    <w:p>
      <w:pPr>
        <w:spacing w:line="560" w:lineRule="exact"/>
        <w:ind w:left="4250"/>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pPr>
      <w:r>
        <w:rPr>
          <w:rFonts w:hint="eastAsia" w:ascii="仿宋" w:hAnsi="仿宋" w:eastAsia="仿宋"/>
          <w:sz w:val="32"/>
          <w:szCs w:val="32"/>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502" w:name="_Toc40795920"/>
      <w:bookmarkStart w:id="503" w:name="_Toc15391896"/>
      <w:bookmarkStart w:id="504" w:name="_Toc91782468"/>
      <w:bookmarkStart w:id="505" w:name="_Toc40813192"/>
      <w:bookmarkStart w:id="506" w:name="_Toc91781187"/>
      <w:bookmarkStart w:id="507" w:name="_Toc20952"/>
      <w:bookmarkStart w:id="508" w:name="_Toc42510674"/>
      <w:bookmarkStart w:id="509" w:name="_Toc91607670"/>
      <w:bookmarkStart w:id="510" w:name="_Toc138173262"/>
      <w:r>
        <w:rPr>
          <w:rFonts w:hint="eastAsia" w:ascii="方正小标宋简体" w:hAnsi="仿宋" w:eastAsia="方正小标宋简体"/>
          <w:kern w:val="44"/>
          <w:sz w:val="44"/>
          <w:szCs w:val="44"/>
        </w:rPr>
        <w:t>其他事项类第３号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重大诉讼、仲裁</w:t>
      </w:r>
      <w:bookmarkEnd w:id="502"/>
      <w:bookmarkEnd w:id="503"/>
      <w:r>
        <w:rPr>
          <w:rFonts w:hint="eastAsia" w:ascii="方正小标宋简体" w:hAnsi="仿宋" w:eastAsia="方正小标宋简体"/>
          <w:kern w:val="44"/>
          <w:sz w:val="44"/>
          <w:szCs w:val="44"/>
        </w:rPr>
        <w:t>公告格式</w:t>
      </w:r>
      <w:bookmarkEnd w:id="504"/>
      <w:bookmarkEnd w:id="505"/>
      <w:bookmarkEnd w:id="506"/>
      <w:bookmarkEnd w:id="507"/>
      <w:bookmarkEnd w:id="508"/>
      <w:bookmarkEnd w:id="509"/>
      <w:bookmarkEnd w:id="510"/>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ind w:left="849" w:leftChars="135" w:hanging="566" w:hangingChars="177"/>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XXXXXX股份有限公司重大诉讼、仲裁公告</w:t>
      </w:r>
    </w:p>
    <w:p>
      <w:pPr>
        <w:tabs>
          <w:tab w:val="left" w:pos="1500"/>
        </w:tabs>
        <w:spacing w:line="560" w:lineRule="exact"/>
        <w:rPr>
          <w:rFonts w:ascii="仿宋" w:hAnsi="仿宋" w:eastAsia="仿宋"/>
          <w:b/>
          <w:sz w:val="32"/>
          <w:szCs w:val="32"/>
        </w:rPr>
      </w:pPr>
      <w:r>
        <w:rPr>
          <w:rFonts w:hint="eastAsia"/>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88900</wp:posOffset>
                </wp:positionV>
                <wp:extent cx="5915025" cy="1628775"/>
                <wp:effectExtent l="0" t="0" r="28575" b="2857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7pt;height:128.25pt;width:465.75pt;mso-position-horizontal:center;mso-position-horizontal-relative:margin;z-index:251707392;mso-width-relative:page;mso-height-relative:page;" fillcolor="#FFFFFF" filled="t" stroked="t" coordsize="21600,21600" o:gfxdata="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IxzcHWAAAABwEAAA8AAAAAAAAAAQAgAAAAIgAAAGRycy9kb3ducmV2Lnht&#10;bFBLAQIUABQAAAAIAIdO4kBLSze6NAIAAH0EAAAOAAAAAAAAAAEAIAAAACUBAABkcnMvZTJvRG9j&#10;LnhtbFBLBQYAAAAABgAGAFkBAADL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tabs>
          <w:tab w:val="left" w:pos="1500"/>
        </w:tabs>
        <w:spacing w:line="560" w:lineRule="exact"/>
        <w:rPr>
          <w:rFonts w:ascii="仿宋" w:hAnsi="仿宋" w:eastAsia="仿宋"/>
          <w:b/>
          <w:sz w:val="32"/>
          <w:szCs w:val="32"/>
        </w:rPr>
      </w:pPr>
    </w:p>
    <w:p>
      <w:pPr>
        <w:tabs>
          <w:tab w:val="left" w:pos="1500"/>
        </w:tabs>
        <w:spacing w:line="560" w:lineRule="exact"/>
        <w:rPr>
          <w:rFonts w:ascii="仿宋" w:hAnsi="仿宋" w:eastAsia="仿宋"/>
          <w:b/>
          <w:sz w:val="32"/>
          <w:szCs w:val="32"/>
        </w:rPr>
      </w:pPr>
    </w:p>
    <w:p>
      <w:pPr>
        <w:tabs>
          <w:tab w:val="left" w:pos="1500"/>
        </w:tabs>
        <w:spacing w:line="560" w:lineRule="exact"/>
        <w:rPr>
          <w:rFonts w:ascii="仿宋" w:hAnsi="仿宋" w:eastAsia="仿宋"/>
          <w:b/>
          <w:sz w:val="32"/>
          <w:szCs w:val="32"/>
        </w:rPr>
      </w:pPr>
    </w:p>
    <w:p>
      <w:pPr>
        <w:tabs>
          <w:tab w:val="left" w:pos="1500"/>
        </w:tabs>
        <w:spacing w:line="560" w:lineRule="exact"/>
        <w:ind w:firstLine="640" w:firstLineChars="200"/>
        <w:rPr>
          <w:rFonts w:ascii="仿宋" w:hAnsi="仿宋" w:eastAsia="仿宋"/>
          <w:sz w:val="32"/>
          <w:szCs w:val="32"/>
        </w:rPr>
      </w:pP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特别提示：</w:t>
      </w:r>
    </w:p>
    <w:p>
      <w:pPr>
        <w:pStyle w:val="241"/>
        <w:numPr>
          <w:ilvl w:val="0"/>
          <w:numId w:val="5"/>
        </w:numPr>
        <w:spacing w:line="560" w:lineRule="exact"/>
        <w:ind w:firstLineChars="0"/>
        <w:rPr>
          <w:rFonts w:ascii="仿宋" w:hAnsi="仿宋" w:eastAsia="仿宋"/>
          <w:sz w:val="32"/>
          <w:szCs w:val="32"/>
        </w:rPr>
      </w:pPr>
      <w:r>
        <w:rPr>
          <w:rFonts w:hint="eastAsia" w:ascii="仿宋" w:hAnsi="仿宋" w:eastAsia="仿宋"/>
          <w:sz w:val="32"/>
          <w:szCs w:val="32"/>
        </w:rPr>
        <w:t>案件所处的诉讼（仲裁）阶段</w:t>
      </w:r>
    </w:p>
    <w:p>
      <w:pPr>
        <w:pStyle w:val="241"/>
        <w:numPr>
          <w:ilvl w:val="0"/>
          <w:numId w:val="5"/>
        </w:numPr>
        <w:spacing w:line="560" w:lineRule="exact"/>
        <w:ind w:firstLineChars="0"/>
        <w:rPr>
          <w:rFonts w:ascii="仿宋" w:hAnsi="仿宋" w:eastAsia="仿宋"/>
          <w:sz w:val="32"/>
          <w:szCs w:val="32"/>
        </w:rPr>
      </w:pPr>
      <w:r>
        <w:rPr>
          <w:rFonts w:hint="eastAsia" w:ascii="仿宋" w:hAnsi="仿宋" w:eastAsia="仿宋"/>
          <w:sz w:val="32"/>
          <w:szCs w:val="32"/>
        </w:rPr>
        <w:t>上市公司所处的当事人地位</w:t>
      </w:r>
    </w:p>
    <w:p>
      <w:pPr>
        <w:pStyle w:val="241"/>
        <w:numPr>
          <w:ilvl w:val="0"/>
          <w:numId w:val="5"/>
        </w:numPr>
        <w:spacing w:line="560" w:lineRule="exact"/>
        <w:ind w:firstLineChars="0"/>
        <w:rPr>
          <w:rFonts w:ascii="仿宋" w:hAnsi="仿宋" w:eastAsia="仿宋"/>
          <w:sz w:val="32"/>
          <w:szCs w:val="32"/>
        </w:rPr>
      </w:pPr>
      <w:r>
        <w:rPr>
          <w:rFonts w:hint="eastAsia" w:ascii="仿宋" w:hAnsi="仿宋" w:eastAsia="仿宋"/>
          <w:sz w:val="32"/>
          <w:szCs w:val="32"/>
        </w:rPr>
        <w:t>涉案的金额</w:t>
      </w:r>
    </w:p>
    <w:p>
      <w:pPr>
        <w:pStyle w:val="241"/>
        <w:numPr>
          <w:ilvl w:val="0"/>
          <w:numId w:val="5"/>
        </w:numPr>
        <w:spacing w:line="560" w:lineRule="exact"/>
        <w:ind w:firstLineChars="0"/>
        <w:rPr>
          <w:rFonts w:ascii="仿宋" w:hAnsi="仿宋" w:eastAsia="仿宋"/>
          <w:sz w:val="32"/>
          <w:szCs w:val="32"/>
        </w:rPr>
      </w:pPr>
      <w:r>
        <w:rPr>
          <w:rFonts w:hint="eastAsia" w:ascii="仿宋" w:hAnsi="仿宋" w:eastAsia="仿宋"/>
          <w:sz w:val="32"/>
          <w:szCs w:val="32"/>
        </w:rPr>
        <w:t>对上市公司损益产生的影响</w:t>
      </w:r>
    </w:p>
    <w:p>
      <w:pPr>
        <w:tabs>
          <w:tab w:val="left" w:pos="1500"/>
        </w:tabs>
        <w:spacing w:line="560" w:lineRule="exact"/>
        <w:ind w:firstLine="643" w:firstLineChars="200"/>
        <w:rPr>
          <w:rFonts w:ascii="仿宋" w:hAnsi="仿宋" w:eastAsia="仿宋"/>
          <w:b/>
          <w:sz w:val="32"/>
          <w:szCs w:val="32"/>
        </w:rPr>
      </w:pP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一、简要介绍本次重大诉讼或仲裁事项受理的基本情况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说明提起本次诉讼或仲裁的受理日期、诉讼或仲裁机构名称及所在地，诉讼或仲裁各方当事人、代理人及其单位的姓名或名称。</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被起诉或被申请仲裁的，说明公司收到起诉状或申请书的时间，诉讼或仲裁机构名称及所在地，诉讼或仲裁各方当事人、代理人及其单位的姓名或名称。</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二、有关本案的基本情况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简要介绍本案的基本情况，包括案件事实、有关纠纷的起因、诉讼或仲裁的请求内容、理由等，本方或对方的答辩、反诉或反请求内容及其理由（如有）。</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三、判决或裁决情况（适用于判决或裁决阶段）</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包括判决或裁决的日期，判决或裁决的结果，判决或裁决是否生效以及各方当事人对结果的意见（如有）。</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四、简要说明是否有其他尚未披露的诉讼仲裁事项</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简要介绍本次公告前公司（包括控股公司在内）尚未披露的小额诉讼、仲裁事项。若没有，也需明确说明。</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简要说明公司（包括控股公司在内）是否有应披露而未披露的其他诉讼、仲裁事项。若没有，也需明确说明。</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五、本次公告的诉讼、仲裁对公司本期利润或期后利润的可能影响</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六、其他应注意事项</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上市公司在披露有关诉讼起诉、仲裁申请后，应按分阶段披露原则持续披露案件进展情况，如一审、二审（如有）、再审（如有）、执行等后续进展情况，以及其他对诉讼有重大影响的相关情况。</w:t>
      </w:r>
    </w:p>
    <w:p>
      <w:pPr>
        <w:tabs>
          <w:tab w:val="left" w:pos="1500"/>
        </w:tabs>
        <w:spacing w:line="560" w:lineRule="exact"/>
        <w:ind w:firstLine="643" w:firstLineChars="200"/>
        <w:rPr>
          <w:rFonts w:ascii="仿宋" w:hAnsi="仿宋" w:eastAsia="仿宋"/>
          <w:b/>
          <w:sz w:val="32"/>
          <w:szCs w:val="32"/>
        </w:rPr>
      </w:pPr>
      <w:r>
        <w:rPr>
          <w:rFonts w:hint="eastAsia" w:ascii="仿宋" w:hAnsi="仿宋" w:eastAsia="仿宋"/>
          <w:b/>
          <w:sz w:val="32"/>
          <w:szCs w:val="32"/>
        </w:rPr>
        <w:t>七、备查文件</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1．判决或裁决文书；</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tabs>
          <w:tab w:val="left" w:pos="1500"/>
        </w:tabs>
        <w:spacing w:line="560" w:lineRule="exact"/>
        <w:ind w:firstLine="643" w:firstLineChars="200"/>
        <w:rPr>
          <w:rFonts w:ascii="仿宋" w:hAnsi="仿宋" w:eastAsia="仿宋"/>
          <w:b/>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keepNext/>
        <w:keepLines/>
        <w:spacing w:before="340" w:line="560" w:lineRule="exact"/>
        <w:jc w:val="center"/>
        <w:outlineLvl w:val="2"/>
        <w:rPr>
          <w:rFonts w:ascii="方正小标宋简体" w:hAnsi="仿宋" w:eastAsia="方正小标宋简体"/>
          <w:kern w:val="44"/>
          <w:sz w:val="44"/>
          <w:szCs w:val="44"/>
        </w:rPr>
      </w:pPr>
      <w:bookmarkStart w:id="511" w:name="OLE_LINK38"/>
      <w:bookmarkStart w:id="512" w:name="_Toc91782469"/>
      <w:bookmarkStart w:id="513" w:name="OLE_LINK37"/>
      <w:bookmarkStart w:id="514" w:name="_Toc60758264"/>
      <w:bookmarkStart w:id="515" w:name="_Toc138173263"/>
      <w:bookmarkStart w:id="516" w:name="_Toc91607671"/>
      <w:bookmarkStart w:id="517" w:name="_Toc91781188"/>
      <w:bookmarkStart w:id="518" w:name="_Toc23079"/>
      <w:bookmarkStart w:id="519" w:name="OLE_LINK8"/>
      <w:bookmarkStart w:id="520" w:name="OLE_LINK5"/>
      <w:r>
        <w:rPr>
          <w:rFonts w:hint="eastAsia" w:ascii="方正小标宋简体" w:hAnsi="仿宋" w:eastAsia="方正小标宋简体"/>
          <w:kern w:val="44"/>
          <w:sz w:val="44"/>
          <w:szCs w:val="44"/>
        </w:rPr>
        <w:t>其他事项类第4号　上市公司（拟）变更</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公司名称（含证券简称）公告格式</w:t>
      </w:r>
      <w:bookmarkEnd w:id="511"/>
      <w:bookmarkEnd w:id="512"/>
      <w:bookmarkEnd w:id="513"/>
      <w:bookmarkEnd w:id="514"/>
      <w:bookmarkEnd w:id="515"/>
      <w:bookmarkEnd w:id="516"/>
      <w:bookmarkEnd w:id="517"/>
      <w:bookmarkEnd w:id="518"/>
    </w:p>
    <w:p>
      <w:pPr>
        <w:autoSpaceDE w:val="0"/>
        <w:autoSpaceDN w:val="0"/>
        <w:adjustRightInd w:val="0"/>
        <w:spacing w:line="560" w:lineRule="exact"/>
        <w:rPr>
          <w:rFonts w:ascii="仿宋" w:hAnsi="仿宋" w:eastAsia="仿宋"/>
          <w:sz w:val="32"/>
          <w:szCs w:val="32"/>
        </w:r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kern w:val="44"/>
          <w:sz w:val="32"/>
          <w:szCs w:val="32"/>
        </w:rPr>
        <w:t>XXXXXX股份有限公司拟变更公司名称（含证券简称）的公告</w:t>
      </w:r>
    </w:p>
    <w:p>
      <w:pPr>
        <w:snapToGrid w:val="0"/>
        <w:spacing w:line="560" w:lineRule="exact"/>
        <w:rPr>
          <w:rFonts w:ascii="仿宋" w:hAnsi="仿宋" w:eastAsia="仿宋"/>
          <w:kern w:val="0"/>
          <w:sz w:val="32"/>
          <w:szCs w:val="32"/>
        </w:rPr>
      </w:pPr>
      <w:r>
        <w:rPr>
          <w:rFonts w:hint="eastAsia"/>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63500</wp:posOffset>
                </wp:positionV>
                <wp:extent cx="5915025" cy="1628775"/>
                <wp:effectExtent l="0" t="0" r="28575" b="2857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5pt;height:128.25pt;width:465.75pt;mso-position-horizontal:center;mso-position-horizontal-relative:margin;z-index:251708416;mso-width-relative:page;mso-height-relative:page;" fillcolor="#FFFFFF" filled="t" stroked="t" coordsize="21600,21600" o:gfxdata="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tKEgdYAAAAHAQAADwAAAAAAAAABACAAAAAiAAAAZHJzL2Rvd25yZXYu&#10;eG1sUEsBAhQAFAAAAAgAh07iQDZtiOc2AgAAfQQAAA4AAAAAAAAAAQAgAAAAJQ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snapToGrid w:val="0"/>
        <w:spacing w:line="560" w:lineRule="exact"/>
        <w:rPr>
          <w:rFonts w:ascii="仿宋" w:hAnsi="仿宋" w:eastAsia="仿宋"/>
          <w:kern w:val="0"/>
          <w:sz w:val="32"/>
          <w:szCs w:val="32"/>
        </w:rPr>
      </w:pPr>
    </w:p>
    <w:p>
      <w:pPr>
        <w:snapToGrid w:val="0"/>
        <w:spacing w:line="560" w:lineRule="exact"/>
        <w:rPr>
          <w:rFonts w:ascii="仿宋" w:hAnsi="仿宋" w:eastAsia="仿宋"/>
          <w:kern w:val="0"/>
          <w:sz w:val="32"/>
          <w:szCs w:val="32"/>
        </w:rPr>
      </w:pPr>
    </w:p>
    <w:p>
      <w:pPr>
        <w:snapToGrid w:val="0"/>
        <w:spacing w:line="560" w:lineRule="exact"/>
        <w:rPr>
          <w:rFonts w:ascii="仿宋" w:hAnsi="仿宋" w:eastAsia="仿宋"/>
          <w:sz w:val="32"/>
          <w:szCs w:val="32"/>
        </w:rPr>
      </w:pPr>
    </w:p>
    <w:p>
      <w:pPr>
        <w:widowControl/>
        <w:spacing w:line="560" w:lineRule="exact"/>
        <w:ind w:firstLine="562"/>
        <w:rPr>
          <w:rFonts w:ascii="仿宋" w:hAnsi="仿宋" w:eastAsia="仿宋"/>
          <w:b/>
          <w:kern w:val="0"/>
          <w:sz w:val="32"/>
          <w:szCs w:val="32"/>
        </w:rPr>
      </w:pP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一、拟变更公司名称（含证券简称）的说明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说明本次上市公司拟变更的是公司名称还是公司名称和证券简称两者都变更，变更前后的公司全称、证券简称，已履行和尚需履行的审批程序。 </w:t>
      </w: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二、公司名称（含证券简称）变更原因说明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说明本次变更的原因，如：公司发生了重大资产重组、公司的主营业务发生变化等。结合公司主营业务构成及经营情况、未来发展战略等说明变更后的公司名称或证券简称与公司主营业务是否相匹配。</w:t>
      </w:r>
    </w:p>
    <w:p>
      <w:pPr>
        <w:tabs>
          <w:tab w:val="left" w:pos="1260"/>
        </w:tabs>
        <w:spacing w:line="560" w:lineRule="exact"/>
        <w:ind w:firstLine="640" w:firstLineChars="200"/>
        <w:rPr>
          <w:rFonts w:ascii="仿宋" w:hAnsi="仿宋" w:eastAsia="仿宋"/>
          <w:b/>
          <w:sz w:val="32"/>
          <w:szCs w:val="32"/>
        </w:rPr>
      </w:pPr>
      <w:r>
        <w:rPr>
          <w:rFonts w:hint="eastAsia" w:ascii="仿宋" w:hAnsi="仿宋" w:eastAsia="仿宋"/>
          <w:b/>
          <w:sz w:val="32"/>
          <w:szCs w:val="32"/>
        </w:rPr>
        <w:t>三、其他事项说明</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说明公司拟变更证券简称的申请是否已经深交所同意，公司证券代码不变。</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b/>
          <w:sz w:val="32"/>
          <w:szCs w:val="32"/>
        </w:rPr>
        <w:t>四、备查文件</w:t>
      </w:r>
    </w:p>
    <w:p>
      <w:pPr>
        <w:tabs>
          <w:tab w:val="left" w:pos="1500"/>
        </w:tabs>
        <w:spacing w:line="560" w:lineRule="exact"/>
        <w:ind w:firstLine="640" w:firstLineChars="200"/>
        <w:rPr>
          <w:rFonts w:ascii="仿宋" w:hAnsi="仿宋" w:eastAsia="仿宋"/>
          <w:sz w:val="32"/>
          <w:szCs w:val="32"/>
        </w:rPr>
      </w:pPr>
      <w:r>
        <w:rPr>
          <w:rFonts w:hint="eastAsia" w:ascii="仿宋" w:hAnsi="仿宋" w:eastAsia="仿宋"/>
          <w:sz w:val="32"/>
          <w:szCs w:val="32"/>
        </w:rPr>
        <w:t>1．董事会决议（如有）；</w:t>
      </w:r>
    </w:p>
    <w:p>
      <w:pPr>
        <w:tabs>
          <w:tab w:val="left" w:pos="1260"/>
        </w:tabs>
        <w:spacing w:line="560" w:lineRule="exact"/>
        <w:ind w:firstLine="640" w:firstLineChars="200"/>
        <w:rPr>
          <w:rFonts w:ascii="仿宋" w:hAnsi="仿宋" w:eastAsia="仿宋"/>
          <w:sz w:val="32"/>
          <w:szCs w:val="32"/>
        </w:rPr>
      </w:pPr>
      <w:r>
        <w:rPr>
          <w:rFonts w:hint="eastAsia" w:ascii="仿宋" w:hAnsi="仿宋" w:eastAsia="仿宋"/>
          <w:sz w:val="32"/>
          <w:szCs w:val="32"/>
        </w:rPr>
        <w:t>2．深交所要求的其他文件。</w:t>
      </w:r>
    </w:p>
    <w:p>
      <w:pPr>
        <w:tabs>
          <w:tab w:val="left" w:pos="1260"/>
        </w:tabs>
        <w:spacing w:line="560" w:lineRule="exact"/>
        <w:ind w:firstLine="640" w:firstLineChars="200"/>
        <w:rPr>
          <w:rFonts w:ascii="仿宋" w:hAnsi="仿宋" w:eastAsia="仿宋"/>
          <w:sz w:val="32"/>
          <w:szCs w:val="32"/>
        </w:rPr>
      </w:pPr>
    </w:p>
    <w:p>
      <w:pPr>
        <w:tabs>
          <w:tab w:val="left" w:pos="126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XXXXXX股份有限公司董事会</w:t>
      </w:r>
    </w:p>
    <w:p>
      <w:pPr>
        <w:tabs>
          <w:tab w:val="left" w:pos="1260"/>
        </w:tabs>
        <w:spacing w:line="560" w:lineRule="exact"/>
        <w:ind w:firstLine="640" w:firstLineChars="20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仿宋" w:hAnsi="仿宋" w:eastAsia="仿宋"/>
          <w:sz w:val="32"/>
          <w:szCs w:val="32"/>
        </w:rPr>
        <w:sectPr>
          <w:pgSz w:w="11906" w:h="16838"/>
          <w:pgMar w:top="1440" w:right="1274" w:bottom="1440" w:left="1797" w:header="851" w:footer="992" w:gutter="0"/>
          <w:cols w:space="720" w:num="1"/>
          <w:docGrid w:type="linesAndChars" w:linePitch="516" w:charSpace="0"/>
        </w:sectPr>
      </w:pPr>
    </w:p>
    <w:p>
      <w:pPr>
        <w:autoSpaceDE w:val="0"/>
        <w:autoSpaceDN w:val="0"/>
        <w:adjustRightIn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snapToGrid w:val="0"/>
        <w:spacing w:line="560" w:lineRule="exact"/>
        <w:jc w:val="center"/>
        <w:rPr>
          <w:rFonts w:ascii="仿宋" w:hAnsi="仿宋" w:eastAsia="仿宋"/>
          <w:sz w:val="32"/>
          <w:szCs w:val="32"/>
        </w:rPr>
      </w:pPr>
      <w:r>
        <w:rPr>
          <w:rFonts w:hint="eastAsia" w:ascii="仿宋" w:hAnsi="仿宋" w:eastAsia="仿宋"/>
          <w:kern w:val="44"/>
          <w:sz w:val="32"/>
          <w:szCs w:val="32"/>
        </w:rPr>
        <w:t>XXXXXX股份有限公司变更公司名称（含证券简称）的公告</w:t>
      </w:r>
    </w:p>
    <w:p>
      <w:pPr>
        <w:snapToGrid w:val="0"/>
        <w:spacing w:line="560" w:lineRule="exact"/>
        <w:rPr>
          <w:rFonts w:ascii="仿宋" w:hAnsi="仿宋" w:eastAsia="仿宋"/>
          <w:kern w:val="0"/>
          <w:sz w:val="32"/>
          <w:szCs w:val="32"/>
        </w:rPr>
      </w:pPr>
      <w:r>
        <w:rPr>
          <w:rFonts w:hint="eastAsia"/>
        </w:rPr>
        <mc:AlternateContent>
          <mc:Choice Requires="wps">
            <w:drawing>
              <wp:anchor distT="0" distB="0" distL="114300" distR="114300" simplePos="0" relativeHeight="251709440" behindDoc="0" locked="0" layoutInCell="1" allowOverlap="1">
                <wp:simplePos x="0" y="0"/>
                <wp:positionH relativeFrom="column">
                  <wp:posOffset>-205105</wp:posOffset>
                </wp:positionH>
                <wp:positionV relativeFrom="paragraph">
                  <wp:posOffset>12065</wp:posOffset>
                </wp:positionV>
                <wp:extent cx="5974715" cy="1796415"/>
                <wp:effectExtent l="0" t="0" r="2603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5974715" cy="1796415"/>
                        </a:xfrm>
                        <a:prstGeom prst="rect">
                          <a:avLst/>
                        </a:prstGeom>
                        <a:solidFill>
                          <a:srgbClr val="FFFFFF"/>
                        </a:solidFill>
                        <a:ln w="9525">
                          <a:solidFill>
                            <a:srgbClr val="000000"/>
                          </a:solidFill>
                          <a:miter lim="800000"/>
                        </a:ln>
                      </wps:spPr>
                      <wps:txbx>
                        <w:txbxContent>
                          <w:p>
                            <w:pPr>
                              <w:spacing w:line="5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 xml:space="preserve">         </w:t>
                            </w:r>
                            <w:r>
                              <w:rPr>
                                <w:rFonts w:hint="eastAsia" w:ascii="仿宋" w:hAnsi="仿宋" w:eastAsia="仿宋"/>
                                <w:sz w:val="32"/>
                                <w:szCs w:val="32"/>
                              </w:rPr>
                              <w:t>（具体和明确的理由）不能保证公告内容真实、准确、完整。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15pt;margin-top:0.95pt;height:141.45pt;width:470.45pt;z-index:251709440;mso-width-relative:page;mso-height-relative:page;" fillcolor="#FFFFFF" filled="t" stroked="t" coordsize="21600,21600" o:gfxdata="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ZkNJ1wAAAAkBAAAPAAAAAAAAAAEAIAAAACIAAABkcnMvZG93bnJl&#10;di54bWxQSwECFAAUAAAACACHTuJAUlbiwjcCAAB7BAAADgAAAAAAAAABACAAAAAmAQAAZHJzL2Uy&#10;b0RvYy54bWxQSwUGAAAAAAYABgBZAQAAzwUAAAAA&#10;">
                <v:fill on="t" focussize="0,0"/>
                <v:stroke color="#000000" miterlimit="8" joinstyle="miter"/>
                <v:imagedata o:title=""/>
                <o:lock v:ext="edit" aspectratio="f"/>
                <v:textbox>
                  <w:txbxContent>
                    <w:p>
                      <w:pPr>
                        <w:spacing w:line="540" w:lineRule="exact"/>
                        <w:ind w:firstLine="640" w:firstLineChars="200"/>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 xml:space="preserve">         </w:t>
                      </w:r>
                      <w:r>
                        <w:rPr>
                          <w:rFonts w:hint="eastAsia" w:ascii="仿宋" w:hAnsi="仿宋" w:eastAsia="仿宋"/>
                          <w:sz w:val="32"/>
                          <w:szCs w:val="32"/>
                        </w:rPr>
                        <w:t>（具体和明确的理由）不能保证公告内容真实、准确、完整。</w:t>
                      </w:r>
                    </w:p>
                  </w:txbxContent>
                </v:textbox>
              </v:rect>
            </w:pict>
          </mc:Fallback>
        </mc:AlternateContent>
      </w:r>
    </w:p>
    <w:p>
      <w:pPr>
        <w:snapToGrid w:val="0"/>
        <w:spacing w:line="560" w:lineRule="exact"/>
        <w:rPr>
          <w:rFonts w:ascii="仿宋" w:hAnsi="仿宋" w:eastAsia="仿宋"/>
          <w:kern w:val="0"/>
          <w:sz w:val="32"/>
          <w:szCs w:val="32"/>
        </w:rPr>
      </w:pPr>
    </w:p>
    <w:p>
      <w:pPr>
        <w:snapToGrid w:val="0"/>
        <w:spacing w:line="560" w:lineRule="exact"/>
        <w:rPr>
          <w:rFonts w:ascii="仿宋" w:hAnsi="仿宋" w:eastAsia="仿宋"/>
          <w:kern w:val="0"/>
          <w:sz w:val="32"/>
          <w:szCs w:val="32"/>
        </w:rPr>
      </w:pPr>
    </w:p>
    <w:p>
      <w:pPr>
        <w:spacing w:line="560" w:lineRule="exact"/>
        <w:ind w:right="480" w:firstLine="3430"/>
        <w:rPr>
          <w:rFonts w:ascii="仿宋" w:hAnsi="仿宋" w:eastAsia="仿宋"/>
          <w:sz w:val="32"/>
          <w:szCs w:val="32"/>
        </w:rPr>
      </w:pPr>
    </w:p>
    <w:bookmarkEnd w:id="519"/>
    <w:bookmarkEnd w:id="520"/>
    <w:p>
      <w:pPr>
        <w:spacing w:line="560" w:lineRule="exact"/>
        <w:ind w:firstLine="643" w:firstLineChars="200"/>
        <w:rPr>
          <w:rFonts w:ascii="仿宋" w:hAnsi="仿宋" w:eastAsia="仿宋"/>
          <w:b/>
          <w:sz w:val="32"/>
          <w:szCs w:val="32"/>
        </w:rPr>
      </w:pP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一、公司名称</w:t>
      </w:r>
      <w:r>
        <w:rPr>
          <w:rFonts w:hint="eastAsia" w:ascii="仿宋" w:hAnsi="仿宋" w:eastAsia="仿宋"/>
          <w:b/>
          <w:kern w:val="0"/>
          <w:sz w:val="32"/>
          <w:szCs w:val="32"/>
        </w:rPr>
        <w:t>（含证券简称）</w:t>
      </w:r>
      <w:r>
        <w:rPr>
          <w:rFonts w:hint="eastAsia" w:ascii="仿宋" w:hAnsi="仿宋" w:eastAsia="仿宋"/>
          <w:b/>
          <w:sz w:val="32"/>
          <w:szCs w:val="32"/>
        </w:rPr>
        <w:t>变更的说明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说明本次上市公司变更的是公司名称还是证券简称或两者都变更，变更前后的公司全称、证券简称，已履行的审批程序，列明同意变更公司全称的股东大会届次，并说明全称变更经工商管理部门登记的情况（如适用）。</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二、公司名称</w:t>
      </w:r>
      <w:r>
        <w:rPr>
          <w:rFonts w:hint="eastAsia" w:ascii="仿宋" w:hAnsi="仿宋" w:eastAsia="仿宋"/>
          <w:b/>
          <w:kern w:val="0"/>
          <w:sz w:val="32"/>
          <w:szCs w:val="32"/>
        </w:rPr>
        <w:t>（含证券简称）</w:t>
      </w:r>
      <w:r>
        <w:rPr>
          <w:rFonts w:hint="eastAsia" w:ascii="仿宋" w:hAnsi="仿宋" w:eastAsia="仿宋"/>
          <w:b/>
          <w:sz w:val="32"/>
          <w:szCs w:val="32"/>
        </w:rPr>
        <w:t>变更的原因说明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说明本次变更的原因，如：公司发生了重大资产重组、公司的主营业务发生变化等。结合公司主营业务构成及经营情况、未来发展战略等说明变更后的公司名称或证券简称与公司主营业务是否相匹配。</w:t>
      </w:r>
    </w:p>
    <w:p>
      <w:pPr>
        <w:spacing w:line="520" w:lineRule="exact"/>
        <w:ind w:firstLine="643" w:firstLineChars="200"/>
        <w:rPr>
          <w:rFonts w:ascii="仿宋" w:hAnsi="仿宋" w:eastAsia="仿宋"/>
          <w:b/>
          <w:sz w:val="32"/>
          <w:szCs w:val="32"/>
        </w:rPr>
      </w:pPr>
      <w:r>
        <w:rPr>
          <w:rFonts w:hint="eastAsia" w:ascii="仿宋" w:hAnsi="仿宋" w:eastAsia="仿宋"/>
          <w:b/>
          <w:sz w:val="32"/>
          <w:szCs w:val="32"/>
        </w:rPr>
        <w:t>三、其他事项说明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1．说明公司变更证券简称的申请已经深交所同意，并说明公司证券代码不变。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2．仅变更公司名称的情形，说明公司证券代码和证券简称不变。</w:t>
      </w: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widowControl/>
        <w:spacing w:line="560" w:lineRule="exact"/>
        <w:ind w:right="640"/>
        <w:jc w:val="right"/>
        <w:rPr>
          <w:rFonts w:ascii="仿宋" w:hAnsi="仿宋" w:eastAsia="仿宋"/>
          <w:sz w:val="32"/>
          <w:szCs w:val="32"/>
        </w:rPr>
      </w:pPr>
      <w:r>
        <w:rPr>
          <w:rFonts w:hint="eastAsia" w:ascii="仿宋" w:hAnsi="仿宋" w:eastAsia="仿宋"/>
          <w:sz w:val="32"/>
          <w:szCs w:val="32"/>
        </w:rPr>
        <w:t>XXXX年XX月XX</w:t>
      </w:r>
    </w:p>
    <w:p>
      <w:pPr>
        <w:widowControl/>
        <w:spacing w:line="560" w:lineRule="exact"/>
        <w:ind w:right="640"/>
        <w:jc w:val="right"/>
        <w:rPr>
          <w:rFonts w:ascii="仿宋" w:hAnsi="仿宋" w:eastAsia="仿宋"/>
          <w:sz w:val="32"/>
          <w:szCs w:val="32"/>
        </w:rPr>
      </w:pPr>
    </w:p>
    <w:p>
      <w:pPr>
        <w:keepNext/>
        <w:keepLines/>
        <w:spacing w:before="340" w:line="560" w:lineRule="exact"/>
        <w:jc w:val="center"/>
        <w:outlineLvl w:val="2"/>
        <w:rPr>
          <w:rFonts w:ascii="方正小标宋简体" w:hAnsi="仿宋" w:eastAsia="方正小标宋简体"/>
          <w:kern w:val="44"/>
          <w:sz w:val="44"/>
          <w:szCs w:val="44"/>
        </w:rPr>
      </w:pPr>
      <w:bookmarkStart w:id="521" w:name="_Toc6804"/>
      <w:bookmarkStart w:id="522" w:name="_Toc91607672"/>
      <w:bookmarkStart w:id="523" w:name="_Toc91781189"/>
      <w:bookmarkStart w:id="524" w:name="_Toc138173264"/>
      <w:bookmarkStart w:id="525" w:name="_Toc91782470"/>
      <w:bookmarkStart w:id="526" w:name="_Toc60758290"/>
      <w:bookmarkStart w:id="527" w:name="_Toc40813220"/>
      <w:bookmarkStart w:id="528" w:name="_Toc40795949"/>
      <w:r>
        <w:rPr>
          <w:rFonts w:hint="eastAsia" w:ascii="方正小标宋简体" w:hAnsi="仿宋" w:eastAsia="方正小标宋简体"/>
          <w:kern w:val="44"/>
          <w:sz w:val="44"/>
          <w:szCs w:val="44"/>
        </w:rPr>
        <w:t>其他事项类第5号　上市公司股权激励计划</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行权情况公告格式</w:t>
      </w:r>
      <w:bookmarkEnd w:id="521"/>
      <w:bookmarkEnd w:id="522"/>
      <w:bookmarkEnd w:id="523"/>
      <w:bookmarkEnd w:id="524"/>
      <w:bookmarkEnd w:id="525"/>
    </w:p>
    <w:p>
      <w:pPr>
        <w:autoSpaceDE w:val="0"/>
        <w:autoSpaceDN w:val="0"/>
        <w:adjustRightInd w:val="0"/>
        <w:spacing w:line="560" w:lineRule="exact"/>
        <w:ind w:left="391" w:leftChars="186" w:firstLine="140" w:firstLineChars="44"/>
        <w:jc w:val="center"/>
        <w:rPr>
          <w:rFonts w:ascii="仿宋" w:hAnsi="仿宋" w:eastAsia="仿宋"/>
          <w:sz w:val="32"/>
          <w:szCs w:val="32"/>
        </w:rPr>
      </w:pPr>
    </w:p>
    <w:p>
      <w:pPr>
        <w:autoSpaceDE w:val="0"/>
        <w:autoSpaceDN w:val="0"/>
        <w:adjustRightInd w:val="0"/>
        <w:spacing w:line="560" w:lineRule="exact"/>
        <w:ind w:left="391" w:leftChars="186" w:firstLine="140" w:firstLineChars="44"/>
        <w:jc w:val="center"/>
        <w:rPr>
          <w:rFonts w:ascii="仿宋" w:hAnsi="仿宋" w:eastAsia="仿宋"/>
          <w:sz w:val="32"/>
          <w:szCs w:val="32"/>
        </w:rPr>
      </w:pPr>
      <w:r>
        <w:rPr>
          <w:rFonts w:hint="eastAsia" w:ascii="仿宋" w:hAnsi="仿宋" w:eastAsia="仿宋"/>
          <w:sz w:val="32"/>
          <w:szCs w:val="32"/>
        </w:rPr>
        <w:t>证券代码：        证券简称：        公告编号：</w:t>
      </w:r>
    </w:p>
    <w:p>
      <w:pPr>
        <w:spacing w:line="560" w:lineRule="exact"/>
        <w:jc w:val="center"/>
        <w:rPr>
          <w:rFonts w:ascii="仿宋" w:hAnsi="仿宋" w:eastAsia="仿宋"/>
          <w:sz w:val="32"/>
          <w:szCs w:val="32"/>
        </w:rPr>
      </w:pPr>
      <w:r>
        <w:rPr>
          <w:rFonts w:hint="eastAsia" w:ascii="仿宋" w:hAnsi="仿宋" w:eastAsia="仿宋"/>
          <w:sz w:val="32"/>
          <w:szCs w:val="32"/>
        </w:rPr>
        <w:t xml:space="preserve">  XXXXXX股份有限公司股权激励计划行权情况公告</w:t>
      </w:r>
    </w:p>
    <w:p>
      <w:pPr>
        <w:autoSpaceDE w:val="0"/>
        <w:autoSpaceDN w:val="0"/>
        <w:adjustRightInd w:val="0"/>
        <w:spacing w:before="258" w:line="560" w:lineRule="exact"/>
        <w:ind w:firstLine="560"/>
        <w:rPr>
          <w:rFonts w:ascii="仿宋" w:hAnsi="仿宋" w:eastAsia="仿宋"/>
          <w:sz w:val="32"/>
          <w:szCs w:val="32"/>
        </w:rPr>
      </w:pPr>
      <w:r>
        <w:rPr>
          <w:rFonts w:hint="eastAsia"/>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60325</wp:posOffset>
                </wp:positionV>
                <wp:extent cx="5915025" cy="1628775"/>
                <wp:effectExtent l="0" t="0" r="28575" b="2857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4.75pt;height:128.25pt;width:465.75pt;mso-position-horizontal:center;mso-position-horizontal-relative:margin;z-index:251710464;mso-width-relative:page;mso-height-relative:page;" fillcolor="#FFFFFF" filled="t" stroked="t" coordsize="21600,21600" o:gfxdata="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eBNenVAAAABgEAAA8AAAAAAAAAAQAgAAAAIgAAAGRycy9kb3ducmV2Lnht&#10;bFBLAQIUABQAAAAIAIdO4kCnxZ5hNQIAAHsEAAAOAAAAAAAAAAEAIAAAACQBAABkcnMvZTJvRG9j&#10;LnhtbFBLBQYAAAAABgAGAFkBAADLBQ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utoSpaceDE w:val="0"/>
        <w:autoSpaceDN w:val="0"/>
        <w:adjustRightInd w:val="0"/>
        <w:spacing w:before="258" w:line="560" w:lineRule="exact"/>
        <w:ind w:firstLine="560"/>
        <w:rPr>
          <w:rFonts w:ascii="仿宋" w:hAnsi="仿宋" w:eastAsia="仿宋"/>
          <w:sz w:val="32"/>
          <w:szCs w:val="32"/>
        </w:rPr>
      </w:pPr>
    </w:p>
    <w:p>
      <w:pPr>
        <w:adjustRightInd w:val="0"/>
        <w:spacing w:line="560" w:lineRule="exact"/>
        <w:ind w:firstLine="722"/>
        <w:rPr>
          <w:rFonts w:ascii="仿宋" w:hAnsi="仿宋" w:eastAsia="仿宋"/>
          <w:sz w:val="32"/>
          <w:szCs w:val="32"/>
        </w:rPr>
      </w:pPr>
    </w:p>
    <w:p>
      <w:pPr>
        <w:adjustRightInd w:val="0"/>
        <w:spacing w:line="560" w:lineRule="exact"/>
        <w:ind w:firstLine="643" w:firstLineChars="200"/>
        <w:rPr>
          <w:rFonts w:ascii="仿宋" w:hAnsi="仿宋" w:eastAsia="仿宋"/>
          <w:b/>
          <w:sz w:val="32"/>
          <w:szCs w:val="32"/>
        </w:rPr>
      </w:pP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一、股权激励计划实施情况概要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1．股权激励计划简介。说明股权激励计划经董事会、股东大会审批通过的时间，股权激励方案的主要内容，包括股份来源、股票期权数量、分期行权时间、行权价格等。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2．股票期权授予情况。说明股票期权历次授予履行的审批程序、授予时间、授予对象及授予数量。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期权数量及行权价格的历次变动情况（如有）。说明历次因激励对象工作或职务变动、标的股票除权除息、行权等原因激励对象、期权数量、行权价格发生变动的情况。已授予股票期权和预留股票期权的变动情况应分开说明，其中已授予股票期权的变动情况还应按下列格式列表说明。</w:t>
      </w:r>
    </w:p>
    <w:p>
      <w:pPr>
        <w:widowControl/>
        <w:jc w:val="left"/>
        <w:rPr>
          <w:rFonts w:ascii="仿宋" w:hAnsi="仿宋" w:eastAsia="仿宋"/>
          <w:b/>
          <w:sz w:val="32"/>
          <w:szCs w:val="32"/>
        </w:rPr>
        <w:sectPr>
          <w:pgSz w:w="11906" w:h="16838"/>
          <w:pgMar w:top="1440" w:right="1800" w:bottom="1440" w:left="1800" w:header="851" w:footer="992" w:gutter="0"/>
          <w:cols w:space="720" w:num="1"/>
          <w:docGrid w:type="lines" w:linePitch="312" w:charSpace="0"/>
        </w:sectPr>
      </w:pPr>
    </w:p>
    <w:p>
      <w:pPr>
        <w:adjustRightInd w:val="0"/>
        <w:spacing w:line="560" w:lineRule="exact"/>
        <w:ind w:firstLine="567"/>
        <w:jc w:val="center"/>
        <w:rPr>
          <w:rFonts w:ascii="仿宋" w:hAnsi="仿宋" w:eastAsia="仿宋"/>
          <w:b/>
          <w:sz w:val="24"/>
          <w:szCs w:val="24"/>
        </w:rPr>
      </w:pPr>
      <w:r>
        <w:rPr>
          <w:rFonts w:hint="eastAsia" w:ascii="仿宋" w:hAnsi="仿宋" w:eastAsia="仿宋"/>
          <w:b/>
          <w:sz w:val="24"/>
          <w:szCs w:val="24"/>
        </w:rPr>
        <w:t>已授予股票期权历次变动情况一览表</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1"/>
        <w:gridCol w:w="927"/>
        <w:gridCol w:w="1374"/>
        <w:gridCol w:w="1110"/>
        <w:gridCol w:w="1101"/>
        <w:gridCol w:w="110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变动</w:t>
            </w:r>
          </w:p>
          <w:p>
            <w:pPr>
              <w:adjustRightInd w:val="0"/>
              <w:jc w:val="center"/>
              <w:rPr>
                <w:rFonts w:ascii="仿宋" w:hAnsi="仿宋" w:eastAsia="仿宋"/>
                <w:b/>
                <w:sz w:val="24"/>
                <w:szCs w:val="24"/>
              </w:rPr>
            </w:pPr>
            <w:r>
              <w:rPr>
                <w:rFonts w:hint="eastAsia" w:ascii="仿宋" w:hAnsi="仿宋" w:eastAsia="仿宋"/>
                <w:b/>
                <w:sz w:val="24"/>
                <w:szCs w:val="24"/>
              </w:rPr>
              <w:t>日期</w:t>
            </w: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该次行权数量</w:t>
            </w:r>
          </w:p>
        </w:tc>
        <w:tc>
          <w:tcPr>
            <w:tcW w:w="544"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该次取消期权数量</w:t>
            </w:r>
          </w:p>
        </w:tc>
        <w:tc>
          <w:tcPr>
            <w:tcW w:w="806"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该次激励对象减少人数</w:t>
            </w:r>
          </w:p>
        </w:tc>
        <w:tc>
          <w:tcPr>
            <w:tcW w:w="651"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该次变动后期权数量（万份）</w:t>
            </w: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该次变动后行权价格</w:t>
            </w:r>
          </w:p>
        </w:tc>
        <w:tc>
          <w:tcPr>
            <w:tcW w:w="646"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该次变动后激励对象人数</w:t>
            </w:r>
          </w:p>
        </w:tc>
        <w:tc>
          <w:tcPr>
            <w:tcW w:w="728"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sz w:val="24"/>
                <w:szCs w:val="24"/>
              </w:rPr>
              <w:t>变动原因简要说明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授予日</w:t>
            </w:r>
          </w:p>
        </w:tc>
        <w:tc>
          <w:tcPr>
            <w:tcW w:w="49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w:t>
            </w:r>
          </w:p>
        </w:tc>
        <w:tc>
          <w:tcPr>
            <w:tcW w:w="544"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w:t>
            </w:r>
          </w:p>
        </w:tc>
        <w:tc>
          <w:tcPr>
            <w:tcW w:w="80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w:t>
            </w:r>
          </w:p>
        </w:tc>
        <w:tc>
          <w:tcPr>
            <w:tcW w:w="651"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728"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r>
              <w:rPr>
                <w:rFonts w:hint="eastAsia" w:ascii="仿宋" w:hAnsi="仿宋" w:eastAsia="仿宋"/>
                <w:sz w:val="24"/>
                <w:szCs w:val="24"/>
              </w:rPr>
              <w:t>…</w:t>
            </w:r>
          </w:p>
        </w:tc>
        <w:tc>
          <w:tcPr>
            <w:tcW w:w="49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544"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80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51"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728"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499"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544"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80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51"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646"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c>
          <w:tcPr>
            <w:tcW w:w="728"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sz w:val="24"/>
                <w:szCs w:val="24"/>
              </w:rPr>
            </w:pPr>
          </w:p>
        </w:tc>
      </w:tr>
    </w:tbl>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填表说明：</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（1）第一行填写授予日的期权数量、行权价格和激励对象人数；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每发生一次变动，均应填写“该次变动后期权数量”、“该次变动后行权价格”和“该次变动后激励对象人数”，即上述三栏不得为空，最后一行上述三栏的数据反映的即是公司最新的已授予期权余额、行权价格和激励对象人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（3）变动日期通常应填报变动事项的公告日，但是分红送转引起变动的，变动日期应填报分红送转的股权登记日；</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该次行权数量”、“该次取消期权数量”、“该次激励对象减少人数”三个栏目反映每次变动的过程，每次变动共涉及几个栏目就应填写几个栏目，不涉及的栏目为空。“该次行权数量”栏目主要反映行权引起的已授予期权数量的减少；“该次取消期权数量”栏目主要反映激励对象离职或降职、公司未达到行权条件、激励对象绩效考核未达到行权条件等情况引起的已授予期权的作废、取消、注销等数量减少；“该次激励对象减少人数”栏目主要反映激励对象离职或降职导致的人数减少；</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（5）分红送转引起的变动，直接填报变动后的“期权数量”、“行权价格”和“激励对象人数”，无需在表格中填报变动数。</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二、激励对象符合行权条件的情况说明</w:t>
      </w:r>
    </w:p>
    <w:p>
      <w:pPr>
        <w:adjustRightInd w:val="0"/>
        <w:spacing w:line="560" w:lineRule="exact"/>
        <w:ind w:firstLine="691" w:firstLineChars="216"/>
        <w:rPr>
          <w:rFonts w:ascii="仿宋" w:hAnsi="仿宋" w:eastAsia="仿宋"/>
          <w:sz w:val="32"/>
          <w:szCs w:val="32"/>
        </w:rPr>
      </w:pPr>
      <w:r>
        <w:rPr>
          <w:rFonts w:hint="eastAsia" w:ascii="仿宋" w:hAnsi="仿宋" w:eastAsia="仿宋"/>
          <w:sz w:val="32"/>
          <w:szCs w:val="32"/>
        </w:rPr>
        <w:t>1．以列表方式逐一说明本次激励对象行权是否符合激励计划规定的各项行权条件。</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06"/>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16" w:type="pc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292" w:type="pc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b/>
                <w:sz w:val="24"/>
                <w:szCs w:val="24"/>
              </w:rPr>
              <w:t>公司股票期权激励计划</w:t>
            </w:r>
          </w:p>
          <w:p>
            <w:pPr>
              <w:jc w:val="center"/>
              <w:rPr>
                <w:rFonts w:ascii="仿宋" w:hAnsi="仿宋" w:eastAsia="仿宋"/>
                <w:b/>
                <w:sz w:val="24"/>
                <w:szCs w:val="24"/>
              </w:rPr>
            </w:pPr>
            <w:r>
              <w:rPr>
                <w:rFonts w:hint="eastAsia" w:ascii="仿宋" w:hAnsi="仿宋" w:eastAsia="仿宋"/>
                <w:b/>
                <w:sz w:val="24"/>
                <w:szCs w:val="24"/>
              </w:rPr>
              <w:t>规定的行权条件</w:t>
            </w:r>
          </w:p>
        </w:tc>
        <w:tc>
          <w:tcPr>
            <w:tcW w:w="2292" w:type="pct"/>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仿宋" w:hAnsi="仿宋" w:eastAsia="仿宋"/>
                <w:b/>
                <w:sz w:val="24"/>
                <w:szCs w:val="24"/>
              </w:rPr>
            </w:pPr>
            <w:r>
              <w:rPr>
                <w:rFonts w:hint="eastAsia" w:ascii="仿宋" w:hAnsi="仿宋" w:eastAsia="仿宋"/>
                <w:b/>
                <w:sz w:val="24"/>
                <w:szCs w:val="24"/>
              </w:rPr>
              <w:t>激励对象符合行权条件</w:t>
            </w:r>
          </w:p>
          <w:p>
            <w:pPr>
              <w:jc w:val="center"/>
              <w:rPr>
                <w:rFonts w:ascii="仿宋" w:hAnsi="仿宋" w:eastAsia="仿宋"/>
                <w:b/>
                <w:sz w:val="24"/>
                <w:szCs w:val="24"/>
              </w:rPr>
            </w:pPr>
            <w:r>
              <w:rPr>
                <w:rFonts w:hint="eastAsia" w:ascii="仿宋" w:hAnsi="仿宋" w:eastAsia="仿宋"/>
                <w:b/>
                <w:sz w:val="24"/>
                <w:szCs w:val="24"/>
              </w:rPr>
              <w:t>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w:t>
            </w:r>
          </w:p>
        </w:tc>
        <w:tc>
          <w:tcPr>
            <w:tcW w:w="2292" w:type="pct"/>
            <w:tcBorders>
              <w:top w:val="single" w:color="auto" w:sz="4" w:space="0"/>
              <w:left w:val="single" w:color="auto" w:sz="4" w:space="0"/>
              <w:bottom w:val="single" w:color="auto" w:sz="4" w:space="0"/>
              <w:right w:val="single" w:color="auto" w:sz="4" w:space="0"/>
            </w:tcBorders>
            <w:vAlign w:val="center"/>
          </w:tcPr>
          <w:p>
            <w:pPr>
              <w:ind w:firstLine="240"/>
              <w:rPr>
                <w:rFonts w:ascii="仿宋" w:hAnsi="仿宋" w:eastAsia="仿宋"/>
                <w:sz w:val="24"/>
                <w:szCs w:val="24"/>
              </w:rPr>
            </w:pPr>
          </w:p>
        </w:tc>
        <w:tc>
          <w:tcPr>
            <w:tcW w:w="2292" w:type="pct"/>
            <w:tcBorders>
              <w:top w:val="single" w:color="auto" w:sz="4" w:space="0"/>
              <w:left w:val="single" w:color="auto" w:sz="4" w:space="0"/>
              <w:bottom w:val="single" w:color="auto" w:sz="4" w:space="0"/>
              <w:right w:val="single" w:color="auto" w:sz="4" w:space="0"/>
            </w:tcBorders>
          </w:tcPr>
          <w:p>
            <w:pPr>
              <w:ind w:firstLine="24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p>
        </w:tc>
        <w:tc>
          <w:tcPr>
            <w:tcW w:w="2292" w:type="pct"/>
            <w:tcBorders>
              <w:top w:val="single" w:color="auto" w:sz="4" w:space="0"/>
              <w:left w:val="single" w:color="auto" w:sz="4" w:space="0"/>
              <w:bottom w:val="single" w:color="auto" w:sz="4" w:space="0"/>
              <w:right w:val="single" w:color="auto" w:sz="4" w:space="0"/>
            </w:tcBorders>
            <w:vAlign w:val="center"/>
          </w:tcPr>
          <w:p>
            <w:pPr>
              <w:ind w:firstLine="240"/>
              <w:rPr>
                <w:rFonts w:ascii="仿宋" w:hAnsi="仿宋" w:eastAsia="仿宋"/>
                <w:sz w:val="24"/>
                <w:szCs w:val="24"/>
              </w:rPr>
            </w:pPr>
          </w:p>
        </w:tc>
        <w:tc>
          <w:tcPr>
            <w:tcW w:w="2292" w:type="pct"/>
            <w:tcBorders>
              <w:top w:val="single" w:color="auto" w:sz="4" w:space="0"/>
              <w:left w:val="single" w:color="auto" w:sz="4" w:space="0"/>
              <w:bottom w:val="single" w:color="auto" w:sz="4" w:space="0"/>
              <w:right w:val="single" w:color="auto" w:sz="4" w:space="0"/>
            </w:tcBorders>
            <w:vAlign w:val="center"/>
          </w:tcPr>
          <w:p>
            <w:pPr>
              <w:ind w:firstLine="24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2292" w:type="pct"/>
            <w:tcBorders>
              <w:top w:val="single" w:color="auto" w:sz="4" w:space="0"/>
              <w:left w:val="single" w:color="auto" w:sz="4" w:space="0"/>
              <w:bottom w:val="single" w:color="auto" w:sz="4" w:space="0"/>
              <w:right w:val="single" w:color="auto" w:sz="4" w:space="0"/>
            </w:tcBorders>
            <w:vAlign w:val="center"/>
          </w:tcPr>
          <w:p>
            <w:pPr>
              <w:ind w:firstLine="240"/>
              <w:rPr>
                <w:rFonts w:ascii="仿宋" w:hAnsi="仿宋" w:eastAsia="仿宋"/>
                <w:sz w:val="24"/>
                <w:szCs w:val="24"/>
              </w:rPr>
            </w:pPr>
          </w:p>
        </w:tc>
        <w:tc>
          <w:tcPr>
            <w:tcW w:w="2292" w:type="pct"/>
            <w:tcBorders>
              <w:top w:val="single" w:color="auto" w:sz="4" w:space="0"/>
              <w:left w:val="single" w:color="auto" w:sz="4" w:space="0"/>
              <w:bottom w:val="single" w:color="auto" w:sz="4" w:space="0"/>
              <w:right w:val="single" w:color="auto" w:sz="4" w:space="0"/>
            </w:tcBorders>
            <w:vAlign w:val="center"/>
          </w:tcPr>
          <w:p>
            <w:pPr>
              <w:ind w:firstLine="240"/>
              <w:rPr>
                <w:rFonts w:ascii="仿宋" w:hAnsi="仿宋" w:eastAsia="仿宋"/>
                <w:sz w:val="24"/>
                <w:szCs w:val="24"/>
              </w:rPr>
            </w:pPr>
          </w:p>
        </w:tc>
      </w:tr>
    </w:tbl>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2．本次部分或全部激励对象未达到行权条件的，应说明对应股票期权的处理方式。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3．说明监事会对激励对象是否符合行权条件出具的核查意见。</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三、本次行权的股份数量、缴款、验资和股份登记情况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1．应以列表方式说明激励对象获授的股票期权数量、本次行权数量等情况。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074"/>
        <w:gridCol w:w="992"/>
        <w:gridCol w:w="1832"/>
        <w:gridCol w:w="1471"/>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序号</w:t>
            </w:r>
          </w:p>
        </w:tc>
        <w:tc>
          <w:tcPr>
            <w:tcW w:w="630" w:type="pct"/>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姓名</w:t>
            </w:r>
          </w:p>
        </w:tc>
        <w:tc>
          <w:tcPr>
            <w:tcW w:w="582" w:type="pct"/>
            <w:tcBorders>
              <w:top w:val="single" w:color="auto" w:sz="4" w:space="0"/>
              <w:left w:val="single" w:color="auto" w:sz="4" w:space="0"/>
              <w:bottom w:val="single" w:color="auto" w:sz="4" w:space="0"/>
              <w:right w:val="single" w:color="auto" w:sz="4" w:space="0"/>
            </w:tcBorders>
            <w:shd w:val="clear" w:color="auto" w:fill="E0E0E0"/>
            <w:vAlign w:val="center"/>
          </w:tcPr>
          <w:p>
            <w:pPr>
              <w:rPr>
                <w:rFonts w:ascii="仿宋" w:hAnsi="仿宋" w:eastAsia="仿宋"/>
                <w:b/>
                <w:sz w:val="24"/>
                <w:szCs w:val="24"/>
              </w:rPr>
            </w:pPr>
            <w:r>
              <w:rPr>
                <w:rFonts w:hint="eastAsia" w:ascii="仿宋" w:hAnsi="仿宋" w:eastAsia="仿宋"/>
                <w:b/>
                <w:kern w:val="0"/>
                <w:sz w:val="24"/>
                <w:szCs w:val="24"/>
              </w:rPr>
              <w:t>职务</w:t>
            </w:r>
          </w:p>
        </w:tc>
        <w:tc>
          <w:tcPr>
            <w:tcW w:w="1075" w:type="pct"/>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本次行权前持有的股票期权数量</w:t>
            </w:r>
          </w:p>
          <w:p>
            <w:pPr>
              <w:autoSpaceDE w:val="0"/>
              <w:autoSpaceDN w:val="0"/>
              <w:adjustRightInd w:val="0"/>
              <w:rPr>
                <w:rFonts w:ascii="仿宋" w:hAnsi="仿宋" w:eastAsia="仿宋"/>
                <w:b/>
                <w:sz w:val="24"/>
                <w:szCs w:val="24"/>
              </w:rPr>
            </w:pPr>
            <w:r>
              <w:rPr>
                <w:rFonts w:hint="eastAsia" w:ascii="仿宋" w:hAnsi="仿宋" w:eastAsia="仿宋"/>
                <w:b/>
                <w:kern w:val="0"/>
                <w:sz w:val="24"/>
                <w:szCs w:val="24"/>
              </w:rPr>
              <w:t>（万股）</w:t>
            </w:r>
          </w:p>
        </w:tc>
        <w:tc>
          <w:tcPr>
            <w:tcW w:w="863" w:type="pct"/>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b/>
                <w:sz w:val="24"/>
                <w:szCs w:val="24"/>
              </w:rPr>
              <w:t>本次行权数量</w:t>
            </w:r>
          </w:p>
          <w:p>
            <w:pPr>
              <w:autoSpaceDE w:val="0"/>
              <w:autoSpaceDN w:val="0"/>
              <w:adjustRightInd w:val="0"/>
              <w:rPr>
                <w:rFonts w:ascii="仿宋" w:hAnsi="仿宋" w:eastAsia="仿宋"/>
                <w:b/>
                <w:sz w:val="24"/>
                <w:szCs w:val="24"/>
              </w:rPr>
            </w:pPr>
            <w:r>
              <w:rPr>
                <w:rFonts w:hint="eastAsia" w:ascii="仿宋" w:hAnsi="仿宋" w:eastAsia="仿宋"/>
                <w:b/>
                <w:sz w:val="24"/>
                <w:szCs w:val="24"/>
              </w:rPr>
              <w:t>（万股）</w:t>
            </w:r>
          </w:p>
        </w:tc>
        <w:tc>
          <w:tcPr>
            <w:tcW w:w="1369" w:type="pct"/>
            <w:tcBorders>
              <w:top w:val="single" w:color="auto" w:sz="4" w:space="0"/>
              <w:left w:val="single" w:color="auto" w:sz="4" w:space="0"/>
              <w:bottom w:val="single" w:color="auto" w:sz="4" w:space="0"/>
              <w:right w:val="single" w:color="auto" w:sz="4" w:space="0"/>
            </w:tcBorders>
            <w:shd w:val="clear" w:color="auto" w:fill="E0E0E0"/>
            <w:vAlign w:val="center"/>
          </w:tcPr>
          <w:p>
            <w:pPr>
              <w:autoSpaceDE w:val="0"/>
              <w:autoSpaceDN w:val="0"/>
              <w:adjustRightInd w:val="0"/>
              <w:rPr>
                <w:rFonts w:ascii="仿宋" w:hAnsi="仿宋" w:eastAsia="仿宋"/>
                <w:b/>
                <w:sz w:val="24"/>
                <w:szCs w:val="24"/>
              </w:rPr>
            </w:pPr>
            <w:r>
              <w:rPr>
                <w:rFonts w:hint="eastAsia" w:ascii="仿宋" w:hAnsi="仿宋" w:eastAsia="仿宋"/>
                <w:b/>
                <w:sz w:val="24"/>
                <w:szCs w:val="24"/>
              </w:rPr>
              <w:t>本次行权占股票期权激励计划已授予权益总量的百分比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b/>
                <w:kern w:val="0"/>
                <w:sz w:val="24"/>
                <w:szCs w:val="24"/>
              </w:rPr>
              <w:t>一、董事、监事、高级管理人员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w:t>
            </w: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Pr>
                <w:rFonts w:ascii="仿宋" w:hAnsi="仿宋" w:eastAsia="仿宋"/>
                <w:kern w:val="0"/>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2</w:t>
            </w: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right="-107"/>
              <w:rPr>
                <w:rFonts w:ascii="仿宋" w:hAnsi="仿宋" w:eastAsia="仿宋"/>
                <w:kern w:val="0"/>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w:t>
            </w: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董事、监事、高级管理人员小计</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b/>
                <w:kern w:val="0"/>
                <w:sz w:val="24"/>
                <w:szCs w:val="24"/>
              </w:rPr>
              <w:t>二、其他激励对象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3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kern w:val="0"/>
                <w:sz w:val="24"/>
                <w:szCs w:val="24"/>
              </w:rPr>
            </w:pPr>
          </w:p>
        </w:tc>
        <w:tc>
          <w:tcPr>
            <w:tcW w:w="582"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其他激励对象小计</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b/>
                <w:kern w:val="0"/>
                <w:sz w:val="24"/>
                <w:szCs w:val="24"/>
              </w:rPr>
            </w:pPr>
            <w:r>
              <w:rPr>
                <w:rFonts w:hint="eastAsia" w:ascii="仿宋" w:hAnsi="仿宋" w:eastAsia="仿宋"/>
                <w:b/>
                <w:kern w:val="0"/>
                <w:sz w:val="24"/>
                <w:szCs w:val="24"/>
              </w:rPr>
              <w:t>合    计</w:t>
            </w:r>
          </w:p>
        </w:tc>
        <w:tc>
          <w:tcPr>
            <w:tcW w:w="107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86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36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2．说明本次行权股份的上市流通安排情况。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3．说明本次行权款项的缴款时间和缴款金额。</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4．说明会计师事务所对本次行权事项进行验资的情况。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5．说明本次激励对象行权在结算公司深圳分公司办理登记托管手续的情况。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6．说明本次行权募集资金的使用计划。</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四、律师关于本次行权的法律意见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说明律师对本次行权合法有效性出具的法律意见书的结论性意见。</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五、其他需要说明的情况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公司应说明预留股份的后续处置以及其他未尽事宜的处理措施。</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六、备查文件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1．公司股权激励计划；</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2．董事会决议；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3．监事会的核查意见；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4．法律意见书；</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5．验资报告；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6．深交所要求的其他文件。</w:t>
      </w:r>
    </w:p>
    <w:p>
      <w:pPr>
        <w:adjustRightInd w:val="0"/>
        <w:spacing w:line="560" w:lineRule="exact"/>
        <w:ind w:left="640" w:hanging="640" w:hanging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 xml:space="preserve"> XXXXXX股份有限公司董事会</w:t>
      </w:r>
    </w:p>
    <w:p>
      <w:pPr>
        <w:spacing w:line="560" w:lineRule="exact"/>
        <w:ind w:firstLine="4160"/>
        <w:jc w:val="right"/>
        <w:rPr>
          <w:rFonts w:ascii="仿宋" w:hAnsi="仿宋" w:eastAsia="仿宋"/>
          <w:sz w:val="32"/>
          <w:szCs w:val="32"/>
        </w:rPr>
      </w:pPr>
      <w:r>
        <w:rPr>
          <w:rFonts w:hint="eastAsia" w:ascii="仿宋" w:hAnsi="仿宋" w:eastAsia="仿宋"/>
          <w:sz w:val="32"/>
          <w:szCs w:val="32"/>
        </w:rPr>
        <w:t>XXXX年XX月XX日</w:t>
      </w:r>
    </w:p>
    <w:p>
      <w:pPr>
        <w:widowControl/>
        <w:jc w:val="left"/>
        <w:rPr>
          <w:rFonts w:ascii="方正小标宋简体" w:hAnsi="仿宋" w:eastAsia="方正小标宋简体"/>
          <w:kern w:val="44"/>
          <w:sz w:val="44"/>
          <w:szCs w:val="44"/>
        </w:rPr>
      </w:pPr>
      <w:r>
        <w:rPr>
          <w:rFonts w:hint="eastAsia" w:ascii="方正小标宋简体" w:hAnsi="仿宋" w:eastAsia="方正小标宋简体"/>
          <w:kern w:val="44"/>
          <w:sz w:val="44"/>
          <w:szCs w:val="44"/>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529" w:name="_Toc138173265"/>
      <w:bookmarkStart w:id="530" w:name="_Toc4915"/>
      <w:bookmarkStart w:id="531" w:name="_Toc91607673"/>
      <w:bookmarkStart w:id="532" w:name="_Toc91782471"/>
      <w:bookmarkStart w:id="533" w:name="_Toc91781190"/>
      <w:r>
        <w:rPr>
          <w:rFonts w:hint="eastAsia" w:ascii="方正小标宋简体" w:hAnsi="仿宋" w:eastAsia="方正小标宋简体"/>
          <w:kern w:val="44"/>
          <w:sz w:val="44"/>
          <w:szCs w:val="44"/>
        </w:rPr>
        <w:t>其他事项类第6号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获得政府补助公告格式</w:t>
      </w:r>
      <w:bookmarkEnd w:id="526"/>
      <w:bookmarkEnd w:id="527"/>
      <w:bookmarkEnd w:id="528"/>
      <w:bookmarkEnd w:id="529"/>
      <w:bookmarkEnd w:id="530"/>
      <w:bookmarkEnd w:id="531"/>
      <w:bookmarkEnd w:id="532"/>
      <w:bookmarkEnd w:id="533"/>
    </w:p>
    <w:p>
      <w:pPr>
        <w:snapToGrid w:val="0"/>
        <w:spacing w:line="560" w:lineRule="exact"/>
        <w:ind w:firstLine="640" w:firstLineChars="200"/>
        <w:rPr>
          <w:rFonts w:ascii="仿宋" w:hAnsi="仿宋" w:eastAsia="仿宋"/>
          <w:sz w:val="32"/>
          <w:szCs w:val="32"/>
        </w:rPr>
      </w:pPr>
      <w:bookmarkStart w:id="534" w:name="_Toc300047341"/>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上市公司及其子公司获得可能对上市公司资产、负债、权益或经营成果产生重大影响的政府补助适用本格式。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述政府补助，指依据《企业会计准则》定义并确认的政府补助，但不包括上市公司收到的可计入经常性损益的政府补助；上述重大影响，是指单笔收到的与收益相关的政府补助占上市公司最近一个会计年度经审计的归属于上市公司股东的净利润10%以上且绝对金额超过100万元，或者收到的与资产相关的政府补助占最近一期经审计的归属于上市公司股东的净资产10%以上且绝对金额超过1000万元。</w:t>
      </w:r>
    </w:p>
    <w:p>
      <w:pPr>
        <w:snapToGrid w:val="0"/>
        <w:spacing w:line="560" w:lineRule="exact"/>
        <w:ind w:firstLine="640" w:firstLineChars="200"/>
        <w:rPr>
          <w:rFonts w:ascii="仿宋" w:hAnsi="仿宋" w:eastAsia="仿宋"/>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adjustRightInd w:val="0"/>
        <w:snapToGrid w:val="0"/>
        <w:spacing w:line="560" w:lineRule="exact"/>
        <w:ind w:firstLine="200"/>
        <w:jc w:val="center"/>
        <w:rPr>
          <w:rFonts w:ascii="仿宋" w:hAnsi="仿宋" w:eastAsia="仿宋"/>
          <w:sz w:val="32"/>
          <w:szCs w:val="32"/>
        </w:rPr>
      </w:pPr>
      <w:r>
        <w:rPr>
          <w:rFonts w:hint="eastAsia" w:ascii="仿宋" w:hAnsi="仿宋" w:eastAsia="仿宋"/>
          <w:sz w:val="32"/>
          <w:szCs w:val="32"/>
        </w:rPr>
        <w:t>XXXXXX股份有限公司获得政府补助的公告</w:t>
      </w:r>
    </w:p>
    <w:p>
      <w:pPr>
        <w:adjustRightInd w:val="0"/>
        <w:snapToGrid w:val="0"/>
        <w:spacing w:line="560" w:lineRule="exact"/>
        <w:ind w:firstLine="200"/>
        <w:jc w:val="center"/>
        <w:rPr>
          <w:rFonts w:ascii="仿宋" w:hAnsi="仿宋" w:eastAsia="仿宋"/>
          <w:sz w:val="32"/>
          <w:szCs w:val="32"/>
        </w:rPr>
      </w:pPr>
      <w:r>
        <w:rPr>
          <w:rFonts w:hint="eastAsia"/>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66675</wp:posOffset>
                </wp:positionV>
                <wp:extent cx="5915025" cy="1628775"/>
                <wp:effectExtent l="0" t="0" r="28575" b="285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5.25pt;height:128.25pt;width:465.75pt;mso-position-horizontal:center;mso-position-horizontal-relative:margin;z-index:251711488;mso-width-relative:page;mso-height-relative:page;" fillcolor="#FFFFFF" filled="t" stroked="t" coordsize="21600,21600" o:gfxdata="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iXKNNYAAAAHAQAADwAAAAAAAAABACAAAAAiAAAAZHJzL2Rvd25yZXYu&#10;eG1sUEsBAhQAFAAAAAgAh07iQC0nNcY2AgAAewQAAA4AAAAAAAAAAQAgAAAAJQ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adjustRightInd w:val="0"/>
        <w:snapToGrid w:val="0"/>
        <w:spacing w:line="560" w:lineRule="exact"/>
        <w:ind w:firstLine="200"/>
        <w:jc w:val="center"/>
        <w:rPr>
          <w:rFonts w:ascii="仿宋" w:hAnsi="仿宋" w:eastAsia="仿宋"/>
          <w:sz w:val="32"/>
          <w:szCs w:val="32"/>
        </w:rPr>
      </w:pPr>
    </w:p>
    <w:p>
      <w:pPr>
        <w:adjustRightInd w:val="0"/>
        <w:snapToGrid w:val="0"/>
        <w:spacing w:line="560" w:lineRule="exact"/>
        <w:rPr>
          <w:rFonts w:ascii="仿宋" w:hAnsi="仿宋" w:eastAsia="仿宋"/>
          <w:sz w:val="32"/>
          <w:szCs w:val="32"/>
        </w:rPr>
      </w:pPr>
    </w:p>
    <w:p>
      <w:pPr>
        <w:adjustRightInd w:val="0"/>
        <w:snapToGrid w:val="0"/>
        <w:spacing w:line="560" w:lineRule="exact"/>
        <w:ind w:firstLine="200"/>
        <w:rPr>
          <w:rFonts w:ascii="仿宋" w:hAnsi="仿宋" w:eastAsia="仿宋"/>
          <w:sz w:val="32"/>
          <w:szCs w:val="32"/>
        </w:rPr>
      </w:pPr>
    </w:p>
    <w:p>
      <w:pPr>
        <w:adjustRightInd w:val="0"/>
        <w:snapToGrid w:val="0"/>
        <w:spacing w:line="560" w:lineRule="exact"/>
        <w:ind w:firstLine="200"/>
        <w:rPr>
          <w:rFonts w:ascii="仿宋" w:hAnsi="仿宋" w:eastAsia="仿宋"/>
          <w:b/>
          <w:sz w:val="32"/>
          <w:szCs w:val="32"/>
        </w:rPr>
      </w:pPr>
    </w:p>
    <w:p>
      <w:pPr>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一、获取补助的基本情况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说明获得补助的主体、收到（应收或实收，以孰先为准）补助的时间、补助形式（如现金、非货币性资产等，后者应说明资产内容）和金额、占上市公司最近一期经审计净资产或经审计净利润的比例、是否与公司日常经营活动相关、是否已经实际收到相关款项或资产、是否具有可持续性等。</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二、补助的类型及其对上市公司的影响</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1．补助的类型。公司应按照会计准则的规定区分并披露所获取的政府补助是与资产相关还是与收益相关，并说明区分理由。同时包含上述两种类型的应分别说明并按照下述要点披露。</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补助的确认和计量。公司应具体说明所收到的各类政府补助的确认时点、金额（非货币性资产应说明其价值计量方式和依据）、会计处理（如冲减相关资产、成本费用，计入递延收益或当期损益等，应具体说明相关科目和金额）及理由。</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3．补助对上市公司的影响。公司应具体量化说明收到的各类政府补助对当期以及未来各会计期间损益的预计影响，不得使用“一定程度”、“积极”等模糊表述。</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风险提示和其他说明。公司应提示与政府补助相关的风险，包括但不限于补助类型、影响金额、能否实际收到相关货币或资产的不确定性等。公司尚不能确定本格式要求的各项披露要素的，需说明原因并明确后续的披露事项。</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三、后续进展情况的披露（如有）</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公司尚未实际收到政府补助相应款项或资产的，应在当次披露的公告中声明将及时披露后续收款或资产接收情况。</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公司前期已披露的政府补助需要退回的，公司应在确认补助需要退回时及时披露退回原因、金额，相应的会计处理及对公司资产、负债、权益或经营成果的影响等。</w:t>
      </w:r>
    </w:p>
    <w:p>
      <w:pPr>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bookmarkEnd w:id="534"/>
      <w:r>
        <w:rPr>
          <w:rFonts w:hint="eastAsia" w:ascii="仿宋" w:hAnsi="仿宋" w:eastAsia="仿宋"/>
          <w:b/>
          <w:sz w:val="32"/>
          <w:szCs w:val="32"/>
        </w:rPr>
        <w:t>备查文件</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1．有关补助的政府批文；</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2．收款凭证或资产转移证明；</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3．深交所要求的其他文件。</w:t>
      </w:r>
    </w:p>
    <w:p>
      <w:pPr>
        <w:snapToGri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bookmarkStart w:id="535" w:name="OLE_LINK7"/>
      <w:bookmarkStart w:id="536" w:name="OLE_LINK6"/>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537" w:name="_Toc77929004"/>
      <w:bookmarkStart w:id="538" w:name="_Toc91781191"/>
      <w:bookmarkStart w:id="539" w:name="_Toc91782472"/>
      <w:bookmarkStart w:id="540" w:name="_Toc91607674"/>
      <w:bookmarkStart w:id="541" w:name="_Toc27091"/>
      <w:bookmarkStart w:id="542" w:name="_Toc138173266"/>
      <w:r>
        <w:rPr>
          <w:rFonts w:hint="eastAsia" w:ascii="方正小标宋简体" w:hAnsi="仿宋" w:eastAsia="方正小标宋简体"/>
          <w:kern w:val="44"/>
          <w:sz w:val="44"/>
          <w:szCs w:val="44"/>
        </w:rPr>
        <w:t>其他事项类第7号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回购股份业务相关公告格式</w:t>
      </w:r>
      <w:bookmarkEnd w:id="537"/>
      <w:bookmarkEnd w:id="538"/>
      <w:bookmarkEnd w:id="539"/>
      <w:bookmarkEnd w:id="540"/>
      <w:bookmarkEnd w:id="541"/>
      <w:bookmarkEnd w:id="542"/>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适用情形：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1．上市公司因减少注册资本、将股份用于员工持股计划或股权激励、用于可转换公司债券转股及维护公司价值及股东权益所必需等情形，以集中竞价或要约方式回购本公司股份的，适用本公告格式。</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olor w:val="000000"/>
          <w:sz w:val="32"/>
          <w:szCs w:val="32"/>
        </w:rPr>
        <w:t>2．A+H股上市公司仅回购H股股份的，不适用本</w:t>
      </w:r>
      <w:r>
        <w:rPr>
          <w:rFonts w:hint="eastAsia" w:ascii="仿宋" w:hAnsi="仿宋" w:eastAsia="仿宋"/>
          <w:sz w:val="32"/>
          <w:szCs w:val="32"/>
        </w:rPr>
        <w:t>公告格式</w:t>
      </w:r>
      <w:r>
        <w:rPr>
          <w:rFonts w:hint="eastAsia" w:ascii="仿宋" w:hAnsi="仿宋" w:eastAsia="仿宋"/>
          <w:color w:val="000000"/>
          <w:sz w:val="32"/>
          <w:szCs w:val="32"/>
        </w:rPr>
        <w:t xml:space="preserve">，但应当遵守A股和H股市场同步信息披露的相关规定。   </w:t>
      </w:r>
      <w:r>
        <w:rPr>
          <w:rFonts w:hint="eastAsia" w:ascii="仿宋" w:hAnsi="仿宋" w:eastAsia="仿宋"/>
          <w:sz w:val="32"/>
          <w:szCs w:val="32"/>
        </w:rPr>
        <w:t xml:space="preserve">  </w:t>
      </w:r>
      <w:r>
        <w:rPr>
          <w:rFonts w:hint="eastAsia" w:ascii="仿宋" w:hAnsi="仿宋" w:eastAsia="仿宋" w:cs="宋体"/>
          <w:color w:val="000000"/>
          <w:kern w:val="0"/>
          <w:sz w:val="32"/>
          <w:szCs w:val="32"/>
        </w:rPr>
        <w:t xml:space="preserve">                                                                                                         </w:t>
      </w:r>
    </w:p>
    <w:p>
      <w:pPr>
        <w:widowControl/>
        <w:adjustRightInd w:val="0"/>
        <w:spacing w:line="560" w:lineRule="exact"/>
        <w:ind w:right="360" w:firstLine="540"/>
        <w:jc w:val="center"/>
        <w:rPr>
          <w:rFonts w:ascii="仿宋" w:hAnsi="仿宋" w:eastAsia="仿宋"/>
          <w:b/>
          <w:bCs/>
          <w:color w:val="000000"/>
          <w:sz w:val="32"/>
          <w:szCs w:val="32"/>
        </w:rPr>
      </w:pPr>
    </w:p>
    <w:p>
      <w:pPr>
        <w:adjustRightInd w:val="0"/>
        <w:snapToGrid w:val="0"/>
        <w:spacing w:line="560" w:lineRule="exact"/>
        <w:jc w:val="center"/>
        <w:rPr>
          <w:rFonts w:ascii="仿宋" w:hAnsi="仿宋" w:eastAsia="仿宋"/>
          <w:sz w:val="32"/>
          <w:szCs w:val="32"/>
        </w:rPr>
      </w:pPr>
      <w:r>
        <w:rPr>
          <w:rFonts w:hint="eastAsia" w:ascii="仿宋" w:hAnsi="仿宋" w:eastAsia="仿宋"/>
          <w:sz w:val="32"/>
          <w:szCs w:val="32"/>
        </w:rPr>
        <w:t>证券代码：           证券简称：            公告编号：</w:t>
      </w:r>
    </w:p>
    <w:p>
      <w:pPr>
        <w:widowControl/>
        <w:spacing w:line="560" w:lineRule="exact"/>
        <w:jc w:val="center"/>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XXXXXX股份有限公司回购股份方案/实施情况/已回购股份处理公告</w:t>
      </w:r>
    </w:p>
    <w:p>
      <w:pPr>
        <w:widowControl/>
        <w:spacing w:line="560" w:lineRule="exact"/>
        <w:jc w:val="center"/>
        <w:rPr>
          <w:rFonts w:ascii="仿宋" w:hAnsi="仿宋" w:eastAsia="仿宋" w:cs="宋体"/>
          <w:b/>
          <w:bCs/>
          <w:color w:val="000000"/>
          <w:kern w:val="0"/>
          <w:sz w:val="32"/>
          <w:szCs w:val="32"/>
        </w:rPr>
      </w:pPr>
      <w:r>
        <w:rPr>
          <w:rFonts w:hint="eastAsia"/>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53975</wp:posOffset>
                </wp:positionV>
                <wp:extent cx="5915025" cy="1628775"/>
                <wp:effectExtent l="0" t="0" r="28575" b="285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4.25pt;height:128.25pt;width:465.75pt;mso-position-horizontal:center;mso-position-horizontal-relative:margin;z-index:251712512;mso-width-relative:page;mso-height-relative:page;" fillcolor="#FFFFFF" filled="t" stroked="t" coordsize="21600,21600" o:gfxdata="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zEUy9YAAAAGAQAADwAAAAAAAAABACAAAAAiAAAAZHJzL2Rvd25yZXYu&#10;eG1sUEsBAhQAFAAAAAgAh07iQKBS3f02AgAAewQAAA4AAAAAAAAAAQAgAAAAJQ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widowControl/>
        <w:spacing w:line="560" w:lineRule="exact"/>
        <w:ind w:firstLine="822" w:firstLineChars="257"/>
        <w:rPr>
          <w:rFonts w:ascii="仿宋" w:hAnsi="仿宋" w:eastAsia="仿宋" w:cs="宋体"/>
          <w:color w:val="000000"/>
          <w:kern w:val="0"/>
          <w:sz w:val="32"/>
          <w:szCs w:val="32"/>
        </w:rPr>
      </w:pPr>
    </w:p>
    <w:p>
      <w:pPr>
        <w:adjustRightInd w:val="0"/>
        <w:snapToGrid w:val="0"/>
        <w:spacing w:line="560" w:lineRule="exact"/>
        <w:rPr>
          <w:rFonts w:ascii="仿宋" w:hAnsi="仿宋" w:eastAsia="仿宋" w:cs="宋体"/>
          <w:color w:val="000000"/>
          <w:kern w:val="0"/>
          <w:sz w:val="32"/>
          <w:szCs w:val="32"/>
        </w:rPr>
      </w:pP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重要内容提示：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1．拟回购股份的种类、用途、价格区间、数量、占公司总股本的比例、实施期限、拟用于回购的资金总额及资金来源等基本情况。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2．相关股东是否存在减持计划。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3．相关风险提示。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4．回购方案实施情况。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5．已回购股份的出售计划、处理情况，与回购方案的差异。</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一、回购股份方案披露</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回购股份提议公告（如适用）。根据相关法律法规及公司章程等享有提案权的提议人向上市公司董事会提议回购股份的，上市公司应当披露经董事会审议通过的提议公告及董事会决议。提议公告主要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1．提议人基本情况及提议时间。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提议人提议回购股份的原因和目的。提议公司“为维护公司价值及股东权益所必需”回购股份的，说明是否符合本所《上市公司自律监管指引第9号——回购股份》（以下简称《回购指引》）第二条第二款规定的条件，提议日期是否在相关事实发生之日起十个交易日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3．提议回购股份的种类、用途、方式、价格区间、数量、占公司总股本的比例及拟用于回购的资金总额。回购股份数量、资金总额至少应有一项明确上下限，且上限不得超出下限的一倍。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4．提议人及其一致行动人在提议前六个月内买卖本公司股份的情况，以及在回购期间的增减持计划。</w:t>
      </w:r>
      <w:r>
        <w:rPr>
          <w:rFonts w:hint="eastAsia" w:ascii="仿宋" w:hAnsi="仿宋" w:eastAsia="仿宋"/>
          <w:color w:val="000000"/>
          <w:sz w:val="32"/>
          <w:szCs w:val="32"/>
        </w:rPr>
        <w:tab/>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5．提议人及其一致行动人将推动公司尽快召开董事会或者股东大会审议回购股份事项，并对公司回购股份议案投赞成票的承诺（如适用）。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6．公司董事会对回购股份提议的意见及后续安排。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7．中国证监会和本所要求披露的其他内容。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（二）回购方案公告。上市公司披露的回购方案应当合理可行，并同时披露董事会决议公告、证券服务机构专业意见（如有）。回购方案公告主要内容包括：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1．回购股份的目的。回购目的应当结合公司实际经营、未来发展趋势及股价变化等情况，符合客观实际。</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回购股份是否符合相关条件。“为维护公司价值及股东权益所必需”情形回购股份的，说明是否符合《回购指引》第二条第二款规定的条件，并列示具体计算过程；因“为维护公司价值及股东权益所必需”之外的其他情形回购股份的，说明是否符合《回购指引》第十条规定的条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拟回购股份的方式、价格区间。以集中竞价方式回购股份的，应当根据市场整体趋势及公司股票价格波动情况审慎确定合理的价格区间，确保实施回购有切实可行的价格范围；回购价格上限若高于董事会通过回购股份决议前三十个交易日公司股票交易均价150%的，充分说明其合理性。以要约方式回购股份的，说明对公司同一种类股票的要约价格及其定价方式；要约价格低于回购方案公告日前三十个交易日公司股票每日加权平均价的算术平均值的，充分说明其合理性。</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拟回购股份的种类、用途、数量、占公司总股本的比例及拟用于回购的资金总额。回购股份种类应当明确为A股或B股；回购股份数量、资金总额至少应有一项明确上下限，且上限不得超出下限的一倍。回购股份用于两项以上用途的，说明各种用途的拟回购股份数量或者资金总额的上下限，且上限不得超出下限的一倍。“为维护公司价值及股东权益所必需”回购股份的，需明确回购后拟用于减少注册资本或者出售的回购股份数量或者资金总额。</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093"/>
        <w:gridCol w:w="2541"/>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仿宋" w:hAnsi="仿宋" w:eastAsia="仿宋"/>
                <w:b/>
                <w:color w:val="000000"/>
                <w:kern w:val="0"/>
                <w:sz w:val="24"/>
              </w:rPr>
            </w:pPr>
            <w:r>
              <w:rPr>
                <w:rFonts w:hint="eastAsia" w:ascii="仿宋" w:hAnsi="仿宋" w:eastAsia="仿宋"/>
                <w:b/>
                <w:color w:val="000000"/>
                <w:kern w:val="0"/>
                <w:sz w:val="24"/>
              </w:rPr>
              <w:t>用途</w:t>
            </w:r>
          </w:p>
        </w:tc>
        <w:tc>
          <w:tcPr>
            <w:tcW w:w="12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仿宋" w:hAnsi="仿宋" w:eastAsia="仿宋"/>
                <w:b/>
                <w:color w:val="000000"/>
                <w:kern w:val="0"/>
                <w:sz w:val="24"/>
              </w:rPr>
            </w:pPr>
            <w:r>
              <w:rPr>
                <w:rFonts w:hint="eastAsia" w:ascii="仿宋" w:hAnsi="仿宋" w:eastAsia="仿宋"/>
                <w:b/>
                <w:color w:val="000000"/>
                <w:kern w:val="0"/>
                <w:sz w:val="24"/>
              </w:rPr>
              <w:t>拟回购股份数量</w:t>
            </w:r>
          </w:p>
        </w:tc>
        <w:tc>
          <w:tcPr>
            <w:tcW w:w="14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仿宋" w:hAnsi="仿宋" w:eastAsia="仿宋"/>
                <w:b/>
                <w:color w:val="000000"/>
                <w:kern w:val="0"/>
                <w:sz w:val="24"/>
              </w:rPr>
            </w:pPr>
            <w:r>
              <w:rPr>
                <w:rFonts w:hint="eastAsia" w:ascii="仿宋" w:hAnsi="仿宋" w:eastAsia="仿宋"/>
                <w:b/>
                <w:color w:val="000000"/>
                <w:kern w:val="0"/>
                <w:sz w:val="24"/>
              </w:rPr>
              <w:t>拟回购资金总额</w:t>
            </w:r>
          </w:p>
        </w:tc>
        <w:tc>
          <w:tcPr>
            <w:tcW w:w="14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仿宋" w:hAnsi="仿宋" w:eastAsia="仿宋"/>
                <w:b/>
                <w:color w:val="000000"/>
                <w:kern w:val="0"/>
                <w:sz w:val="24"/>
              </w:rPr>
            </w:pPr>
            <w:r>
              <w:rPr>
                <w:rFonts w:hint="eastAsia" w:ascii="仿宋" w:hAnsi="仿宋" w:eastAsia="仿宋"/>
                <w:b/>
                <w:color w:val="000000"/>
                <w:kern w:val="0"/>
                <w:sz w:val="24"/>
              </w:rPr>
              <w:t>占公司总股本的比例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228"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228"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228"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228"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c>
          <w:tcPr>
            <w:tcW w:w="1491" w:type="pct"/>
            <w:tcBorders>
              <w:top w:val="single" w:color="auto" w:sz="4" w:space="0"/>
              <w:left w:val="single" w:color="auto" w:sz="4" w:space="0"/>
              <w:bottom w:val="single" w:color="auto" w:sz="4" w:space="0"/>
              <w:right w:val="single" w:color="auto" w:sz="4" w:space="0"/>
            </w:tcBorders>
          </w:tcPr>
          <w:p>
            <w:pPr>
              <w:widowControl/>
              <w:adjustRightInd w:val="0"/>
              <w:snapToGrid w:val="0"/>
              <w:spacing w:line="560" w:lineRule="exact"/>
              <w:jc w:val="left"/>
              <w:rPr>
                <w:rFonts w:ascii="仿宋" w:hAnsi="仿宋" w:eastAsia="仿宋"/>
                <w:color w:val="000000"/>
                <w:kern w:val="0"/>
                <w:sz w:val="24"/>
              </w:rPr>
            </w:pPr>
          </w:p>
        </w:tc>
      </w:tr>
    </w:tbl>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回购股份的资金来源。资金来源应当明确为自有资金、银行贷款、向第三方融资等，并说明对应的比例。如使用发行优先股和债券募集的资金、发行普通股取得的超募资金、募投项目节余资金和已依法变更为永久补充流动资金的募集资金回购股份，说明使用上述资金履行的决策程序和信息披露情况。公司应当在分析资产负债率、有息负债、现金流等情况的基础上，说明实施回购是否会加大财务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回购股份的实施期限。公司应当结合回购股份敏感期审慎确定回购期限，确保实施回购有切实可行的时间窗口。回购方案实施期间，公司股票因筹划重大事项连续停牌十个交易日以上的，回购期限可予以顺延，顺延后不得超出中国证监会及本所规定的最长期限，公司应当及时披露是否顺延实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7．预计回购后公司股本结构变动情况。回购数量或者拟用于回购的资金总额存在上下限的，应当分别以上下限预计回购后公司股本结构变动情况。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8．管理层关于本次回购股份对公司经营、财务、研发、债务履行能力、未来发展影响和维持上市地位等情况的分析，全体董事关于本次回购股份不会损害上市公司的债务履行能力和持续经营能力的承诺。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上市公司根据《回购指引》第二条第二款规定进行回购的，应当披露董事会主动与股东特别是中小股东进行沟通和交流的情况，以及听取股东关于公司是否应实施股份回购的意见和诉求的情况。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上市公司董事、监事、高级管理人员，控股股东、实际控制人及其一致行动人在董事会作出回购股份决议前六个月内买卖本公司股份的情况，是否存在单独或者与他人联合进行内幕交易及操纵市场行为的说明，回购期间的增减持计划；上市公司董事、监事、高级管理人员、控股股东、实际控制人、持股5%以上股东、回购股份提议人在未来三个月、未来六个月的减持计划（如适用），相关股东未回复上市公司减持计划问询的，公司应当提示可能存在的减持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本次回购股份方案提议人的基本情况及提议时间、提议理由，提议人及其一致行动人在提议前六个月内买卖本公司股份的情况，是否存在单独或者与他人联合进行内幕交易及操纵市场行为的说明，以及在回购期间的增减持计划（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11．回购股份后依法注销或转让的相关安排，以及防范侵害债权人利益的相关安排。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上市公司董事会审议回购股份方案的情况，本次回购方案是否需要提交股东大会审议，如否，说明股东大会或者公司章程对董事会办理本次回购股份事项的具体授权情况。因“为维护公司价值及股东权益所必需”情形回购股份的，说明董事会召开时点是否符合《回购指引》的要求。</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13．回购方案的风险提示。公司应当详细披露可能面临的不确定性风险及拟采取的应对措施，包括但不限于以下风险：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（1）公司股东大会</w:t>
      </w:r>
      <w:bookmarkStart w:id="543" w:name="OLE_LINK29"/>
      <w:bookmarkStart w:id="544" w:name="OLE_LINK28"/>
      <w:r>
        <w:rPr>
          <w:rFonts w:hint="eastAsia" w:ascii="仿宋" w:hAnsi="仿宋" w:eastAsia="仿宋"/>
          <w:color w:val="000000"/>
          <w:sz w:val="32"/>
          <w:szCs w:val="32"/>
        </w:rPr>
        <w:t>未审议通过回购股份议案</w:t>
      </w:r>
      <w:bookmarkEnd w:id="543"/>
      <w:bookmarkEnd w:id="544"/>
      <w:r>
        <w:rPr>
          <w:rFonts w:hint="eastAsia" w:ascii="仿宋" w:hAnsi="仿宋" w:eastAsia="仿宋"/>
          <w:color w:val="000000"/>
          <w:sz w:val="32"/>
          <w:szCs w:val="32"/>
        </w:rPr>
        <w:t>的风险（如适用）。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（2）公司无法满足债权人要求清偿债务或提供相应的担保，进而导致回购方案无法实施的风险（如适用）。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（3）公司股票价格持续超出回购方案披露的价格区间，导致回购方案无法实施的风险。</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（4）回购股份所需资金未能筹措到位，导致回购方案无法实施的风险等。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回购方案实施过程中出现前述风险情形的，上市公司应当及时披露并说明拟采取的应对措施。</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14．中国证监会和本所要求披露的其他内容。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上市公司在回购期内发生派发红利、送红股、公积金转增股本等除权除息事项的，应当对回购方案进行相应调整并及时披露。</w:t>
      </w:r>
      <w:bookmarkStart w:id="545" w:name="OLE_LINK24"/>
      <w:bookmarkStart w:id="546" w:name="OLE_LINK25"/>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（三）回购报告书</w:t>
      </w:r>
      <w:bookmarkEnd w:id="545"/>
      <w:bookmarkEnd w:id="546"/>
      <w:r>
        <w:rPr>
          <w:rFonts w:hint="eastAsia" w:ascii="仿宋" w:hAnsi="仿宋" w:eastAsia="仿宋"/>
          <w:color w:val="000000"/>
          <w:sz w:val="32"/>
          <w:szCs w:val="32"/>
        </w:rPr>
        <w:t>公告。上市公司应当在回购方案履行审议程序后三个交易日内向结算公司申请开立回购专用账户（如已存在回购专用账户则无需再次开立）。回购股份后拟予以注销的，还应当根据《公司法》的要求及时通知债权人。前述事项办理完毕后，应当及时披露回购报告书，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1．简要介绍回购股份方案。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2．说明回购股份事项履行相关审议程序及信息披露义务的情况；涉及其他主管部门批准的，说明是否已得到批准。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3．通知债权人及开立回购专用账户的情况（如适用）。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上市公司董事、监事、高级管理人员，控股股东、实际控制人、提议人（如有）及其一致行动人在股东大会回购决议公告前六个月内买卖本公司股份的情况，是否存在单独或者与他人联合进行内幕交易及操纵市场的说明（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5．回购股份的资金筹措到位情况（如适用）。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6．其他应说明的事项。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上市公司以要约方式回购股份的，还应当披露股东预受要约的方式和程序、股东撤回预受要约的方式和程序，以及股东委托办理要约回购中相关股份预受、撤回、结算、过户登记等事宜的证券公司名称及其通讯方式。</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二、回购方案实施进展及结果公告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（一）上市公司在实施回购期间，应当持续披露回购进展公告。公告时点及公告内容如下：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在首次回购事实发生的次一交易日、回购股份占公司总股本的比例每增加1%的事实发生之日起三个交易日内披露回购进展情况公告，在每个月的前三个交易日内披露截至上月末的回购进展情况公告。公告内容包括回购方式、已回购股份数量、占公司总股本的比例、购买的最高价和最低价、已使用资金总额，并说明是否符合既定方案。此外，公司还应当在定期报告中披露回购进展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2．回购方案规定的回购期限过半时，仍未实施回购的，应当披露未能实施回购的原因和后续回购安排。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（二）回购期限届满或者回购方案已实施完毕的，应当在两个交易日内披露回购结果暨股份变动公告。公告内容包括：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1．实际回购时间区间、已回购股份数量、占公司总股本的比例、购买的最高价和最低价、使用资金总额。</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2．对照实际回购情况与经董事会或股东大会审议的回购方案是否存在差异，存在差异的，作出解释说明。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3．说明实施回购对公司财务、经营、研发、债务履行能力等方面的影响。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董事、监事、高级管理人员，控股股东、实际控制人、提议人（如有）及其一致行动人在首次披露回购事项之日至回购结果暨股份变动公告前一日买卖本公司股票情况及理由，以及是否和回购方案中披露的增减持计划一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对照《回购指引》第十七条、十八条规定，说明回购实施过程是否符合关于敏感期、交易时间及价格的要求，并具体列示敏感期范围；“为维护公司价值及股东权益所必需”回购股份的，还应当说明董事、监事、高级管理人员，控股股东、实际控制人、提议人（如有）及其一致行动人在公司首次披露回购方案公告至披露回购结果暨股份变动公告期间是否存在直接或间接减持本公司股份情形。</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三、已回购股份的处理进展及结果公告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（一）上市公司对已回购股份予以注销的，应当在注销办理完成后及时披露回购股份注销完成暨股份变动公告。公告内容包括：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1．简要说明回购股份的实施情况，包括回购股份数量、购买的最高价、最低价、均价、使用资金总额、实施期间等。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2．说明股份注销安排，包括注销数量、完成日期、注销期限是否合规。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3．列示注销完成后股本结构变动表。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4．说明后续事项安排，包括修改公司章程、办理工商变更登记及备案手续等。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（二）上市公司将已回购股份用于股权激励授予员工或者转让给员工持股计划的，除按照有关规定履行信息披露义务外，还应当在股权激励授予完成公告、员工持股计划相关进展公告中披露以下内容：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1．简要说明回购股份的实施情况。包括回购股份数量、购买的最高价、最低价、均价、使用资金总额、实施期间等。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2．授予或者转让的股份数量、价格及定价依据、授予或者转让价格与回购均价差异的会计处理等。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（三）上市公司将已回购股份用于可转换债券转股的，应当在每季度转股情况公告中说明转股价格情况、与回购均价的对比，并于转股全部完成后公告说明前述情况。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（四）上市公司采用集中竞价交易方式出售“为维护公司价值及股东权益所必需”所回购股份的，应当披露出售计划公告、出售进展公告、出售实施完成公告。公告时点及披露内容如下：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1．在首次卖出股份的十五个交易日前，根据《回购指引》的要求披露出售计划公告，并同时披露董事会审议通过的决议公告。出售计划公告内容包括：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（1）出售的原因、目的、方式、价格区间、拟出售的数量及占总股本的比例、出售的实施期限（每次披露的出售时间区间不得超过六个月）。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（2）出售所得资金的用途及使用安排。</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（3）预计出售完成后公司股本结构的变动情况。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（4）管理层关于本次出售回购股份对公司经营、财务及未来发展影响等情况的分析。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（5）上市公司董事、监事、高级管理人员，控股股东、实际控制人、提议人（如有）及其一致行动人在董事会作出出售股份决议前六个月内买卖本公司股份的情况。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在首次出售回购股份事实发生的次一交易日、出售回购股份占上市公司总股本的比例每达到1%的事实发生之日起三个交易日内披露出售进展情况，在每个月的前三个交易日内披露截至上月末的出售进展情况，公告内容包括：已出售股份数量、出售所得资金总额、出售的最高价、最低价、均价和回购均价。</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3．出售期限届满或者出售计划实施完毕后，在两个交易日内披露出售结果暨股份变动公告。公告内容包括：</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（1）对照实际出售股份数量、比例、出售所得资金总额与出售计划相应内容，如出售实施情况与出售计划存在差异，作出解释说明。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（2）说明本次出售对公司的影响。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对照《回购指引》第四十一条、四十三条规定，说明出售过程是否符合关于敏感期、交易时间及价格、出售数量的要求，并具体列示敏感期范围、出售计划披露日前二十个交易日日均成交量、单日最高出售股份数量及对应日期等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已回购股份处理完毕后，应当披露回购股份处理完成公告。公告内容包括：用于各类用途的股份数量、占公司总股本的比例、完成情况，与回购方案的拟定用途是否存在差异，如存在差异，说明差异原因；说明回购事项是否存在违反《回购指引》的情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（六）上市公司还应当在定期报告中披露已回购股份用于各类用途的处理进展情况。</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四、备查文件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1.回购股份事项相关内幕信息知情人名单（披露回购股份方案公告时报备）；</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2.结算公司出具的回购专用账户持股数量查询证明（适用于回购实施进展及结果、已回购股份的处理进展及结果公告）；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3.深交所要求的其他文件。</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jc w:val="left"/>
        <w:rPr>
          <w:rFonts w:ascii="方正小标宋简体" w:hAnsi="仿宋" w:eastAsia="方正小标宋简体"/>
          <w:kern w:val="44"/>
          <w:sz w:val="44"/>
          <w:szCs w:val="44"/>
        </w:rPr>
      </w:pPr>
      <w:bookmarkStart w:id="547" w:name="_Toc2189908"/>
      <w:bookmarkStart w:id="548" w:name="_Toc138173267"/>
      <w:bookmarkStart w:id="549" w:name="_Toc2189141"/>
      <w:bookmarkStart w:id="550" w:name="_Toc2179924"/>
      <w:bookmarkStart w:id="551" w:name="_Toc91782473"/>
      <w:bookmarkStart w:id="552" w:name="_Toc527123143"/>
      <w:bookmarkStart w:id="553" w:name="_Toc40795941"/>
      <w:bookmarkStart w:id="554" w:name="_Toc430016293"/>
      <w:bookmarkStart w:id="555" w:name="_Toc40813212"/>
      <w:bookmarkStart w:id="556" w:name="_Toc2348652"/>
      <w:bookmarkStart w:id="557" w:name="_Toc91607675"/>
      <w:bookmarkStart w:id="558" w:name="_Toc91781192"/>
      <w:bookmarkStart w:id="559" w:name="_Toc60758282"/>
      <w:bookmarkStart w:id="560" w:name="_Toc15391916"/>
      <w:bookmarkStart w:id="561" w:name="_Toc510444139"/>
      <w:r>
        <w:rPr>
          <w:rFonts w:hint="eastAsia" w:ascii="方正小标宋简体" w:hAnsi="仿宋" w:eastAsia="方正小标宋简体"/>
          <w:kern w:val="44"/>
          <w:sz w:val="44"/>
          <w:szCs w:val="44"/>
        </w:rPr>
        <w:br w:type="page"/>
      </w:r>
    </w:p>
    <w:p>
      <w:pPr>
        <w:keepNext/>
        <w:keepLines/>
        <w:spacing w:before="340" w:line="560" w:lineRule="exact"/>
        <w:jc w:val="center"/>
        <w:outlineLvl w:val="2"/>
        <w:rPr>
          <w:rFonts w:ascii="方正小标宋简体" w:hAnsi="仿宋" w:eastAsia="方正小标宋简体"/>
          <w:kern w:val="44"/>
          <w:sz w:val="44"/>
          <w:szCs w:val="44"/>
        </w:rPr>
      </w:pPr>
      <w:bookmarkStart w:id="562" w:name="_Toc6631"/>
      <w:r>
        <w:rPr>
          <w:rFonts w:hint="eastAsia" w:ascii="方正小标宋简体" w:hAnsi="仿宋" w:eastAsia="方正小标宋简体"/>
          <w:kern w:val="44"/>
          <w:sz w:val="44"/>
          <w:szCs w:val="44"/>
        </w:rPr>
        <w:t>其他事项类第8号　上市公司</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股东追加承诺公告格式</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spacing w:line="560" w:lineRule="exact"/>
        <w:rPr>
          <w:rFonts w:ascii="仿宋" w:hAnsi="仿宋" w:eastAsia="仿宋"/>
          <w:b/>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适用情形：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上市公司股东追加承诺时，适用本格式。上市公司应在发布公告同时，及时将股东追加的承诺录入系统“承诺事项管理”模块中。</w:t>
      </w:r>
    </w:p>
    <w:p>
      <w:pPr>
        <w:spacing w:line="360" w:lineRule="exact"/>
        <w:ind w:firstLine="640" w:firstLineChars="200"/>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 xml:space="preserve">证券代码：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证券简称：</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公告编号：</w:t>
      </w:r>
    </w:p>
    <w:p>
      <w:pPr>
        <w:spacing w:line="560" w:lineRule="exact"/>
        <w:jc w:val="center"/>
        <w:rPr>
          <w:rFonts w:ascii="仿宋" w:hAnsi="仿宋" w:eastAsia="仿宋"/>
          <w:sz w:val="32"/>
          <w:szCs w:val="32"/>
        </w:rPr>
      </w:pPr>
      <w:r>
        <w:rPr>
          <w:rFonts w:hint="eastAsia" w:ascii="仿宋" w:hAnsi="仿宋" w:eastAsia="仿宋"/>
          <w:sz w:val="32"/>
          <w:szCs w:val="32"/>
        </w:rPr>
        <w:t>XXXXXX股份有限公司股东追加承诺公告</w:t>
      </w:r>
    </w:p>
    <w:p>
      <w:pPr>
        <w:spacing w:line="560" w:lineRule="exact"/>
        <w:jc w:val="center"/>
        <w:rPr>
          <w:rFonts w:ascii="仿宋" w:hAnsi="仿宋" w:eastAsia="仿宋"/>
          <w:sz w:val="32"/>
          <w:szCs w:val="32"/>
        </w:rPr>
      </w:pPr>
      <w:r>
        <w:rPr>
          <w:rFonts w:hint="eastAsia"/>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114300</wp:posOffset>
                </wp:positionV>
                <wp:extent cx="5914390" cy="1266825"/>
                <wp:effectExtent l="0" t="0" r="10160" b="285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5914390" cy="1266825"/>
                        </a:xfrm>
                        <a:prstGeom prst="rect">
                          <a:avLst/>
                        </a:prstGeom>
                        <a:solidFill>
                          <a:srgbClr val="FFFFFF"/>
                        </a:solidFill>
                        <a:ln w="9525">
                          <a:solidFill>
                            <a:srgbClr val="000000"/>
                          </a:solidFill>
                          <a:miter lim="800000"/>
                        </a:ln>
                      </wps:spPr>
                      <wps:txb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9pt;height:99.75pt;width:465.7pt;mso-position-horizontal:center;mso-position-horizontal-relative:margin;z-index:251713536;mso-width-relative:page;mso-height-relative:page;" fillcolor="#FFFFFF" filled="t" stroked="t" coordsize="21600,21600" o:gfxdata="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2jQO9cAAAAHAQAADwAAAAAAAAABACAAAAAiAAAAZHJzL2Rvd25yZXYu&#10;eG1sUEsBAhQAFAAAAAgAh07iQN1Mxlo1AgAAewQAAA4AAAAAAAAAAQAgAAAAJgEAAGRycy9lMm9E&#10;b2MueG1sUEsFBgAAAAAGAAYAWQEAAM0FAAAAAA==&#10;">
                <v:fill on="t" focussize="0,0"/>
                <v:stroke color="#000000" miterlimit="8" joinstyle="miter"/>
                <v:imagedata o:title=""/>
                <o:lock v:ext="edit" aspectratio="f"/>
                <v:textbox>
                  <w:txbxContent>
                    <w:p>
                      <w:pPr>
                        <w:spacing w:line="440" w:lineRule="exact"/>
                        <w:ind w:firstLine="640" w:firstLineChars="200"/>
                        <w:rPr>
                          <w:rFonts w:ascii="仿宋" w:hAnsi="仿宋" w:eastAsia="仿宋"/>
                          <w:sz w:val="32"/>
                          <w:szCs w:val="32"/>
                        </w:rPr>
                      </w:pPr>
                      <w:r>
                        <w:rPr>
                          <w:rFonts w:hint="eastAsia" w:ascii="仿宋" w:hAnsi="仿宋" w:eastAsia="仿宋"/>
                          <w:sz w:val="32"/>
                          <w:szCs w:val="32"/>
                        </w:rPr>
                        <w:t>股东XX保证向本公司提供的信息内容真实、准确、完整，没有虚假记载、误导性陈述或重大遗漏。</w:t>
                      </w:r>
                    </w:p>
                    <w:p>
                      <w:pPr>
                        <w:spacing w:line="440" w:lineRule="exact"/>
                        <w:ind w:firstLine="640" w:firstLineChars="200"/>
                      </w:pPr>
                      <w:r>
                        <w:rPr>
                          <w:rFonts w:hint="eastAsia" w:ascii="仿宋" w:hAnsi="仿宋" w:eastAsia="仿宋"/>
                          <w:sz w:val="32"/>
                          <w:szCs w:val="32"/>
                        </w:rPr>
                        <w:t>本公司及董事会全体成员保证公告内容与信息披露义务人提供的信息一致。</w:t>
                      </w:r>
                    </w:p>
                  </w:txbxContent>
                </v:textbox>
              </v:rect>
            </w:pict>
          </mc:Fallback>
        </mc:AlternateContent>
      </w: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cs="宋体"/>
          <w:kern w:val="0"/>
          <w:sz w:val="32"/>
          <w:szCs w:val="32"/>
        </w:rPr>
      </w:pPr>
    </w:p>
    <w:p>
      <w:pPr>
        <w:adjustRightInd w:val="0"/>
        <w:spacing w:line="560" w:lineRule="exact"/>
        <w:ind w:firstLine="562"/>
        <w:rPr>
          <w:rFonts w:ascii="仿宋" w:hAnsi="仿宋" w:eastAsia="仿宋" w:cs="宋体"/>
          <w:kern w:val="0"/>
          <w:sz w:val="32"/>
          <w:szCs w:val="32"/>
        </w:rPr>
      </w:pP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一、追加承诺股东基本情况介绍</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1．追加承诺股东为法人的，说明股东的全称、注册地址、注册资本、法定代表人、经营范围等相关信息；追加承诺股东为自然人的，说明追加承诺股东的姓名，是否在上市公司担任董事、监事或者高级管理人员。</w:t>
      </w: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2．追加承诺股东持有上市公司股份的情况：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463"/>
        <w:gridCol w:w="1442"/>
        <w:gridCol w:w="1573"/>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股东</w:t>
            </w:r>
          </w:p>
          <w:p>
            <w:pPr>
              <w:widowControl/>
              <w:jc w:val="center"/>
              <w:rPr>
                <w:rFonts w:ascii="仿宋" w:hAnsi="仿宋" w:eastAsia="仿宋"/>
                <w:b/>
                <w:kern w:val="0"/>
                <w:sz w:val="24"/>
                <w:szCs w:val="24"/>
              </w:rPr>
            </w:pPr>
            <w:r>
              <w:rPr>
                <w:rFonts w:hint="eastAsia" w:ascii="仿宋" w:hAnsi="仿宋" w:eastAsia="仿宋"/>
                <w:b/>
                <w:kern w:val="0"/>
                <w:sz w:val="24"/>
                <w:szCs w:val="24"/>
              </w:rPr>
              <w:t>名称</w:t>
            </w:r>
          </w:p>
        </w:tc>
        <w:tc>
          <w:tcPr>
            <w:tcW w:w="144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股份类别</w:t>
            </w:r>
          </w:p>
        </w:tc>
        <w:tc>
          <w:tcPr>
            <w:tcW w:w="8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股数</w:t>
            </w:r>
          </w:p>
          <w:p>
            <w:pPr>
              <w:widowControl/>
              <w:jc w:val="center"/>
              <w:rPr>
                <w:rFonts w:ascii="仿宋" w:hAnsi="仿宋" w:eastAsia="仿宋"/>
                <w:b/>
                <w:kern w:val="0"/>
                <w:sz w:val="24"/>
                <w:szCs w:val="24"/>
              </w:rPr>
            </w:pPr>
            <w:r>
              <w:rPr>
                <w:rFonts w:hint="eastAsia" w:ascii="仿宋" w:hAnsi="仿宋" w:eastAsia="仿宋" w:cs="宋体"/>
                <w:b/>
                <w:kern w:val="0"/>
                <w:sz w:val="24"/>
                <w:szCs w:val="24"/>
              </w:rPr>
              <w:t>（</w:t>
            </w:r>
            <w:r>
              <w:rPr>
                <w:rFonts w:hint="eastAsia" w:ascii="仿宋" w:hAnsi="仿宋" w:eastAsia="仿宋"/>
                <w:b/>
                <w:kern w:val="0"/>
                <w:sz w:val="24"/>
                <w:szCs w:val="24"/>
              </w:rPr>
              <w:t>万股</w:t>
            </w:r>
            <w:r>
              <w:rPr>
                <w:rFonts w:hint="eastAsia" w:ascii="仿宋" w:hAnsi="仿宋" w:eastAsia="仿宋" w:cs="宋体"/>
                <w:b/>
                <w:kern w:val="0"/>
                <w:sz w:val="24"/>
                <w:szCs w:val="24"/>
              </w:rPr>
              <w:t>）</w:t>
            </w:r>
          </w:p>
        </w:tc>
        <w:tc>
          <w:tcPr>
            <w:tcW w:w="9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占总股本</w:t>
            </w:r>
          </w:p>
          <w:p>
            <w:pPr>
              <w:widowControl/>
              <w:jc w:val="center"/>
              <w:rPr>
                <w:rFonts w:ascii="仿宋" w:hAnsi="仿宋" w:eastAsia="仿宋"/>
                <w:b/>
                <w:kern w:val="0"/>
                <w:sz w:val="24"/>
                <w:szCs w:val="24"/>
              </w:rPr>
            </w:pPr>
            <w:r>
              <w:rPr>
                <w:rFonts w:hint="eastAsia" w:ascii="仿宋" w:hAnsi="仿宋" w:eastAsia="仿宋"/>
                <w:b/>
                <w:kern w:val="0"/>
                <w:sz w:val="24"/>
                <w:szCs w:val="24"/>
              </w:rPr>
              <w:t>比例</w:t>
            </w:r>
            <w:r>
              <w:rPr>
                <w:rFonts w:hint="eastAsia" w:ascii="仿宋" w:hAnsi="仿宋" w:eastAsia="仿宋" w:cs="宋体"/>
                <w:b/>
                <w:kern w:val="0"/>
                <w:sz w:val="24"/>
                <w:szCs w:val="24"/>
              </w:rPr>
              <w:t>（%）</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kern w:val="0"/>
                <w:sz w:val="24"/>
                <w:szCs w:val="24"/>
              </w:rPr>
              <w:t>限售情况的说明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5"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445"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无限售条件股份</w:t>
            </w:r>
          </w:p>
        </w:tc>
        <w:tc>
          <w:tcPr>
            <w:tcW w:w="846"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92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解限时间说明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45"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有限售条件股份</w:t>
            </w:r>
          </w:p>
        </w:tc>
        <w:tc>
          <w:tcPr>
            <w:tcW w:w="846"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923"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p>
        </w:tc>
        <w:tc>
          <w:tcPr>
            <w:tcW w:w="1231" w:type="pc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kern w:val="0"/>
                <w:sz w:val="24"/>
                <w:szCs w:val="24"/>
              </w:rPr>
              <w:t>限售期限说明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144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合计：</w:t>
            </w:r>
          </w:p>
        </w:tc>
        <w:tc>
          <w:tcPr>
            <w:tcW w:w="84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92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23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tabs>
          <w:tab w:val="left" w:pos="1800"/>
          <w:tab w:val="left" w:pos="1980"/>
        </w:tabs>
        <w:spacing w:line="560" w:lineRule="exact"/>
        <w:ind w:firstLine="640" w:firstLineChars="200"/>
        <w:rPr>
          <w:rFonts w:ascii="仿宋" w:hAnsi="仿宋" w:eastAsia="仿宋"/>
          <w:sz w:val="32"/>
          <w:szCs w:val="32"/>
        </w:rPr>
      </w:pPr>
    </w:p>
    <w:p>
      <w:pPr>
        <w:tabs>
          <w:tab w:val="left" w:pos="1800"/>
          <w:tab w:val="left" w:pos="1980"/>
        </w:tabs>
        <w:spacing w:line="560" w:lineRule="exact"/>
        <w:ind w:firstLine="640" w:firstLineChars="200"/>
        <w:rPr>
          <w:rFonts w:ascii="仿宋" w:hAnsi="仿宋" w:eastAsia="仿宋"/>
          <w:sz w:val="32"/>
          <w:szCs w:val="32"/>
        </w:rPr>
      </w:pPr>
    </w:p>
    <w:p>
      <w:pPr>
        <w:tabs>
          <w:tab w:val="left" w:pos="1800"/>
          <w:tab w:val="left" w:pos="1980"/>
        </w:tabs>
        <w:spacing w:line="560" w:lineRule="exact"/>
        <w:ind w:firstLine="640" w:firstLineChars="200"/>
        <w:rPr>
          <w:rFonts w:ascii="仿宋" w:hAnsi="仿宋" w:eastAsia="仿宋"/>
          <w:sz w:val="32"/>
          <w:szCs w:val="32"/>
        </w:rPr>
      </w:pPr>
      <w:r>
        <w:rPr>
          <w:rFonts w:hint="eastAsia" w:ascii="仿宋" w:hAnsi="仿宋" w:eastAsia="仿宋"/>
          <w:sz w:val="32"/>
          <w:szCs w:val="32"/>
        </w:rPr>
        <w:t>3．追加承诺股东最近十二个月累计减持情况</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kern w:val="0"/>
                <w:sz w:val="24"/>
                <w:szCs w:val="24"/>
              </w:rPr>
              <w:t>股东名称</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kern w:val="0"/>
                <w:sz w:val="24"/>
                <w:szCs w:val="24"/>
              </w:rPr>
              <w:t>减持股数</w:t>
            </w:r>
            <w:r>
              <w:rPr>
                <w:rFonts w:hint="eastAsia" w:ascii="仿宋" w:hAnsi="仿宋" w:eastAsia="仿宋" w:cs="宋体"/>
                <w:b/>
                <w:kern w:val="0"/>
                <w:sz w:val="24"/>
                <w:szCs w:val="24"/>
              </w:rPr>
              <w:t>（</w:t>
            </w:r>
            <w:r>
              <w:rPr>
                <w:rFonts w:hint="eastAsia" w:ascii="仿宋" w:hAnsi="仿宋" w:eastAsia="仿宋"/>
                <w:b/>
                <w:kern w:val="0"/>
                <w:sz w:val="24"/>
                <w:szCs w:val="24"/>
              </w:rPr>
              <w:t>万股</w:t>
            </w:r>
            <w:r>
              <w:rPr>
                <w:rFonts w:hint="eastAsia" w:ascii="仿宋" w:hAnsi="仿宋" w:eastAsia="仿宋" w:cs="宋体"/>
                <w:b/>
                <w:kern w:val="0"/>
                <w:sz w:val="24"/>
                <w:szCs w:val="24"/>
              </w:rPr>
              <w:t>）</w:t>
            </w:r>
          </w:p>
        </w:tc>
        <w:tc>
          <w:tcPr>
            <w:tcW w:w="1667"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b/>
                <w:sz w:val="24"/>
                <w:szCs w:val="24"/>
              </w:rPr>
            </w:pPr>
            <w:r>
              <w:rPr>
                <w:rFonts w:hint="eastAsia" w:ascii="仿宋" w:hAnsi="仿宋" w:eastAsia="仿宋"/>
                <w:b/>
                <w:kern w:val="0"/>
                <w:sz w:val="24"/>
                <w:szCs w:val="24"/>
              </w:rPr>
              <w:t>占总股本比例</w:t>
            </w:r>
            <w:r>
              <w:rPr>
                <w:rFonts w:hint="eastAsia" w:ascii="仿宋" w:hAnsi="仿宋" w:eastAsia="仿宋"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c>
          <w:tcPr>
            <w:tcW w:w="1667" w:type="pct"/>
            <w:tcBorders>
              <w:top w:val="single" w:color="auto" w:sz="4" w:space="0"/>
              <w:left w:val="single" w:color="auto" w:sz="4" w:space="0"/>
              <w:bottom w:val="single" w:color="auto" w:sz="4" w:space="0"/>
              <w:right w:val="single" w:color="auto" w:sz="4" w:space="0"/>
            </w:tcBorders>
          </w:tcPr>
          <w:p>
            <w:pPr>
              <w:adjustRightInd w:val="0"/>
              <w:rPr>
                <w:rFonts w:ascii="仿宋" w:hAnsi="仿宋" w:eastAsia="仿宋"/>
                <w:b/>
                <w:sz w:val="24"/>
                <w:szCs w:val="24"/>
              </w:rPr>
            </w:pPr>
          </w:p>
        </w:tc>
      </w:tr>
    </w:tbl>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二、此次追加承诺的主要内容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1．股东延长限售期承诺的主要内容：</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041"/>
        <w:gridCol w:w="1495"/>
        <w:gridCol w:w="1104"/>
        <w:gridCol w:w="866"/>
        <w:gridCol w:w="992"/>
        <w:gridCol w:w="115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股东</w:t>
            </w:r>
          </w:p>
          <w:p>
            <w:pPr>
              <w:widowControl/>
              <w:jc w:val="center"/>
              <w:rPr>
                <w:rFonts w:ascii="仿宋" w:hAnsi="仿宋" w:eastAsia="仿宋"/>
                <w:b/>
                <w:kern w:val="0"/>
                <w:sz w:val="24"/>
                <w:szCs w:val="24"/>
              </w:rPr>
            </w:pPr>
            <w:r>
              <w:rPr>
                <w:rFonts w:hint="eastAsia" w:ascii="仿宋" w:hAnsi="仿宋" w:eastAsia="仿宋"/>
                <w:b/>
                <w:kern w:val="0"/>
                <w:sz w:val="24"/>
                <w:szCs w:val="24"/>
              </w:rPr>
              <w:t>名称</w:t>
            </w:r>
          </w:p>
        </w:tc>
        <w:tc>
          <w:tcPr>
            <w:tcW w:w="61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追加承诺股份性质</w:t>
            </w:r>
          </w:p>
        </w:tc>
        <w:tc>
          <w:tcPr>
            <w:tcW w:w="152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追加承诺涉及股份</w:t>
            </w:r>
          </w:p>
        </w:tc>
        <w:tc>
          <w:tcPr>
            <w:tcW w:w="50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原限售截止日</w:t>
            </w:r>
          </w:p>
        </w:tc>
        <w:tc>
          <w:tcPr>
            <w:tcW w:w="5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延长锁定期限（年）</w:t>
            </w:r>
          </w:p>
        </w:tc>
        <w:tc>
          <w:tcPr>
            <w:tcW w:w="6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延长锁定期后的限售截止日</w:t>
            </w:r>
          </w:p>
        </w:tc>
        <w:tc>
          <w:tcPr>
            <w:tcW w:w="56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设定的最低减持价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8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股数</w:t>
            </w:r>
          </w:p>
          <w:p>
            <w:pPr>
              <w:widowControl/>
              <w:jc w:val="center"/>
              <w:rPr>
                <w:rFonts w:ascii="仿宋" w:hAnsi="仿宋" w:eastAsia="仿宋"/>
                <w:b/>
                <w:kern w:val="0"/>
                <w:sz w:val="24"/>
                <w:szCs w:val="24"/>
              </w:rPr>
            </w:pPr>
            <w:r>
              <w:rPr>
                <w:rFonts w:hint="eastAsia" w:ascii="仿宋" w:hAnsi="仿宋" w:eastAsia="仿宋" w:cs="宋体"/>
                <w:b/>
                <w:kern w:val="0"/>
                <w:sz w:val="24"/>
                <w:szCs w:val="24"/>
              </w:rPr>
              <w:t>（</w:t>
            </w:r>
            <w:r>
              <w:rPr>
                <w:rFonts w:hint="eastAsia" w:ascii="仿宋" w:hAnsi="仿宋" w:eastAsia="仿宋"/>
                <w:b/>
                <w:kern w:val="0"/>
                <w:sz w:val="24"/>
                <w:szCs w:val="24"/>
              </w:rPr>
              <w:t>万股</w:t>
            </w:r>
            <w:r>
              <w:rPr>
                <w:rFonts w:hint="eastAsia" w:ascii="仿宋" w:hAnsi="仿宋" w:eastAsia="仿宋" w:cs="宋体"/>
                <w:b/>
                <w:kern w:val="0"/>
                <w:sz w:val="24"/>
                <w:szCs w:val="24"/>
              </w:rPr>
              <w:t>）</w:t>
            </w:r>
          </w:p>
        </w:tc>
        <w:tc>
          <w:tcPr>
            <w:tcW w:w="6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szCs w:val="24"/>
              </w:rPr>
            </w:pPr>
            <w:r>
              <w:rPr>
                <w:rFonts w:hint="eastAsia" w:ascii="仿宋" w:hAnsi="仿宋" w:eastAsia="仿宋"/>
                <w:b/>
                <w:kern w:val="0"/>
                <w:sz w:val="24"/>
                <w:szCs w:val="24"/>
              </w:rPr>
              <w:t>占总股本比例</w:t>
            </w:r>
            <w:r>
              <w:rPr>
                <w:rFonts w:hint="eastAsia" w:ascii="仿宋" w:hAnsi="仿宋" w:eastAsia="仿宋" w:cs="宋体"/>
                <w:b/>
                <w:kern w:val="0"/>
                <w:sz w:val="24"/>
                <w:szCs w:val="24"/>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11" w:type="pct"/>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p>
        </w:tc>
        <w:tc>
          <w:tcPr>
            <w:tcW w:w="87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090" w:type="pct"/>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6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6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r>
    </w:tbl>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2．涉及最低减持价格的追加承诺，追加承诺股东应当合理确定最低减持价格；最低减持价格与当前市场价格差别较大的，追加承诺股东应当作出特别说明。</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3．违反承诺的违约条款。违约处罚条款应当可操作性强，易于执行，便于上市公司董事会的监督执行，如规定违反承诺减持股份的所得全部或者一定比例上缴上市公司，并承担一定比例的违约金等。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4．追加承诺的其他内容。</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三、上市公司董事会的责任</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董事会应明确披露并及时督促追加承诺股东严格遵守承诺，对于违反承诺减持股份的，上市公司董事会保证主动、及时要求违反承诺的相关股东履行违约责任。对于承诺延长持有期的，公司将于两个工作日内在结算公司办理变更股份性质的相关手续。</w:t>
      </w:r>
    </w:p>
    <w:p>
      <w:pPr>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四、备查文件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1．股东追加承诺的正式文件；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2．上市公司股东追加承诺；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3．深交所要求的其他文件。</w:t>
      </w:r>
    </w:p>
    <w:p>
      <w:pPr>
        <w:adjustRightInd w:val="0"/>
        <w:spacing w:line="560" w:lineRule="exact"/>
        <w:ind w:firstLine="640" w:firstLineChars="200"/>
        <w:rPr>
          <w:rFonts w:ascii="仿宋" w:hAnsi="仿宋" w:eastAsia="仿宋"/>
          <w:sz w:val="32"/>
          <w:szCs w:val="32"/>
        </w:rPr>
      </w:pPr>
    </w:p>
    <w:p>
      <w:pPr>
        <w:spacing w:line="560" w:lineRule="exact"/>
        <w:ind w:firstLine="4160"/>
        <w:jc w:val="right"/>
        <w:rPr>
          <w:rFonts w:ascii="仿宋" w:hAnsi="仿宋" w:eastAsia="仿宋"/>
          <w:sz w:val="32"/>
          <w:szCs w:val="32"/>
        </w:rPr>
      </w:pPr>
      <w:r>
        <w:rPr>
          <w:rFonts w:hint="eastAsia" w:ascii="仿宋" w:hAnsi="仿宋" w:eastAsia="仿宋"/>
          <w:sz w:val="32"/>
          <w:szCs w:val="32"/>
        </w:rPr>
        <w:t>XXXXXX股份有限公司董事会</w:t>
      </w:r>
    </w:p>
    <w:p>
      <w:pPr>
        <w:spacing w:line="560" w:lineRule="exact"/>
        <w:ind w:right="360" w:firstLine="4160"/>
        <w:jc w:val="right"/>
        <w:rPr>
          <w:rFonts w:ascii="仿宋" w:hAnsi="仿宋" w:eastAsia="仿宋"/>
          <w:sz w:val="32"/>
          <w:szCs w:val="32"/>
        </w:rPr>
      </w:pPr>
      <w:r>
        <w:rPr>
          <w:rFonts w:hint="eastAsia" w:ascii="仿宋" w:hAnsi="仿宋" w:eastAsia="仿宋"/>
          <w:sz w:val="32"/>
          <w:szCs w:val="32"/>
        </w:rPr>
        <w:t>XXXX年XX月XX日</w:t>
      </w:r>
    </w:p>
    <w:p>
      <w:pPr>
        <w:spacing w:line="560" w:lineRule="exact"/>
        <w:ind w:right="360" w:firstLine="4160"/>
        <w:jc w:val="right"/>
        <w:rPr>
          <w:rFonts w:ascii="仿宋" w:hAnsi="仿宋" w:eastAsia="仿宋"/>
          <w:sz w:val="32"/>
          <w:szCs w:val="32"/>
        </w:rPr>
      </w:pPr>
    </w:p>
    <w:p>
      <w:pPr>
        <w:keepNext/>
        <w:keepLines/>
        <w:spacing w:before="340" w:line="560" w:lineRule="exact"/>
        <w:jc w:val="center"/>
        <w:outlineLvl w:val="2"/>
        <w:rPr>
          <w:rFonts w:ascii="方正小标宋简体" w:hAnsi="仿宋" w:eastAsia="方正小标宋简体"/>
          <w:kern w:val="44"/>
          <w:sz w:val="44"/>
          <w:szCs w:val="44"/>
        </w:rPr>
      </w:pPr>
      <w:r>
        <w:rPr>
          <w:rFonts w:hint="eastAsia" w:ascii="仿宋" w:hAnsi="仿宋" w:eastAsia="仿宋"/>
          <w:sz w:val="32"/>
          <w:szCs w:val="32"/>
        </w:rPr>
        <w:br w:type="page"/>
      </w:r>
      <w:bookmarkStart w:id="563" w:name="_Toc91607676"/>
      <w:bookmarkStart w:id="564" w:name="_Toc91781193"/>
      <w:bookmarkStart w:id="565" w:name="_Toc60758287"/>
      <w:bookmarkStart w:id="566" w:name="_Toc19840"/>
      <w:bookmarkStart w:id="567" w:name="_Toc40813217"/>
      <w:bookmarkStart w:id="568" w:name="_Toc91782474"/>
      <w:bookmarkStart w:id="569" w:name="_Toc138173268"/>
      <w:bookmarkStart w:id="570" w:name="_Toc429919295"/>
      <w:r>
        <w:rPr>
          <w:rFonts w:hint="eastAsia" w:ascii="方正小标宋简体" w:hAnsi="仿宋" w:eastAsia="方正小标宋简体"/>
          <w:kern w:val="44"/>
          <w:sz w:val="44"/>
          <w:szCs w:val="44"/>
        </w:rPr>
        <w:t>其他事项类第9号　上市公司股东股份</w:t>
      </w:r>
      <w:r>
        <w:rPr>
          <w:rFonts w:hint="eastAsia" w:ascii="方正小标宋简体" w:hAnsi="仿宋" w:eastAsia="方正小标宋简体"/>
          <w:kern w:val="44"/>
          <w:sz w:val="44"/>
          <w:szCs w:val="44"/>
        </w:rPr>
        <w:br w:type="textWrapping"/>
      </w:r>
      <w:r>
        <w:rPr>
          <w:rFonts w:hint="eastAsia" w:ascii="方正小标宋简体" w:hAnsi="仿宋" w:eastAsia="方正小标宋简体"/>
          <w:kern w:val="44"/>
          <w:sz w:val="44"/>
          <w:szCs w:val="44"/>
        </w:rPr>
        <w:t>质押（冻结或拍卖等）的公告格式</w:t>
      </w:r>
      <w:bookmarkEnd w:id="563"/>
      <w:bookmarkEnd w:id="564"/>
      <w:bookmarkEnd w:id="565"/>
      <w:bookmarkEnd w:id="566"/>
      <w:bookmarkEnd w:id="567"/>
      <w:bookmarkEnd w:id="568"/>
      <w:bookmarkEnd w:id="569"/>
    </w:p>
    <w:p>
      <w:pPr>
        <w:overflowPunct w:val="0"/>
        <w:autoSpaceDE w:val="0"/>
        <w:autoSpaceDN w:val="0"/>
        <w:adjustRightInd w:val="0"/>
        <w:spacing w:line="560" w:lineRule="exact"/>
        <w:ind w:firstLine="420"/>
        <w:rPr>
          <w:rFonts w:ascii="仿宋" w:hAnsi="仿宋" w:eastAsia="仿宋"/>
          <w:b/>
          <w:kern w:val="0"/>
          <w:sz w:val="32"/>
          <w:szCs w:val="32"/>
        </w:rPr>
      </w:pPr>
    </w:p>
    <w:p>
      <w:pPr>
        <w:overflowPunct w:val="0"/>
        <w:autoSpaceDE w:val="0"/>
        <w:autoSpaceDN w:val="0"/>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特别说明：</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1．上市公司股东及其一致行动人质押或解除质押的股份数量、比例应当合并计算。</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2．对于同时存在股份质押和解除质押情形的，应当分别披露质押和解除质押情况。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3．上市公司股东及其一致行动人所持公司5%以上的股份出现平仓风险时，应当及时告知上市公司并按照本公告格式披露公告。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上市公司股东及其一致行动人所持股份被冻结（含轮候冻结）/标记、拍卖（包括司法机关等依法进行的拍卖、变卖、划转等强制执行措施）、托管、设定信托或限制表决权等（以下简称冻结或拍卖等），或者出现被强制过户风险的，比照上述标准适用本公告格式。</w:t>
      </w:r>
    </w:p>
    <w:p>
      <w:pPr>
        <w:widowControl/>
        <w:adjustRightInd w:val="0"/>
        <w:spacing w:line="560" w:lineRule="exact"/>
        <w:ind w:right="360" w:firstLine="540"/>
        <w:rPr>
          <w:rFonts w:ascii="仿宋" w:hAnsi="仿宋" w:eastAsia="仿宋"/>
          <w:sz w:val="32"/>
          <w:szCs w:val="32"/>
        </w:rPr>
      </w:pPr>
    </w:p>
    <w:p>
      <w:pPr>
        <w:widowControl/>
        <w:jc w:val="left"/>
        <w:rPr>
          <w:rFonts w:ascii="仿宋" w:hAnsi="仿宋" w:eastAsia="仿宋"/>
          <w:sz w:val="32"/>
          <w:szCs w:val="32"/>
        </w:rPr>
      </w:pPr>
      <w:r>
        <w:rPr>
          <w:rFonts w:hint="eastAsia" w:ascii="仿宋" w:hAnsi="仿宋" w:eastAsia="仿宋"/>
          <w:sz w:val="32"/>
          <w:szCs w:val="32"/>
        </w:rPr>
        <w:br w:type="page"/>
      </w:r>
    </w:p>
    <w:p>
      <w:pPr>
        <w:widowControl/>
        <w:adjustRightInd w:val="0"/>
        <w:spacing w:line="560" w:lineRule="exact"/>
        <w:ind w:right="360" w:firstLine="540"/>
        <w:rPr>
          <w:rFonts w:ascii="仿宋" w:hAnsi="仿宋" w:eastAsia="仿宋"/>
          <w:kern w:val="0"/>
          <w:sz w:val="32"/>
          <w:szCs w:val="32"/>
        </w:rPr>
      </w:pPr>
      <w:r>
        <w:rPr>
          <w:rFonts w:hint="eastAsia" w:ascii="仿宋" w:hAnsi="仿宋" w:eastAsia="仿宋"/>
          <w:kern w:val="0"/>
          <w:sz w:val="32"/>
          <w:szCs w:val="32"/>
        </w:rPr>
        <w:t xml:space="preserve">证券代码：  </w:t>
      </w:r>
      <w:r>
        <w:rPr>
          <w:rFonts w:hint="eastAsia" w:ascii="仿宋" w:hAnsi="仿宋" w:eastAsia="仿宋"/>
          <w:kern w:val="0"/>
          <w:sz w:val="32"/>
          <w:szCs w:val="32"/>
        </w:rPr>
        <w:tab/>
      </w:r>
      <w:r>
        <w:rPr>
          <w:rFonts w:hint="eastAsia" w:ascii="仿宋" w:hAnsi="仿宋" w:eastAsia="仿宋"/>
          <w:kern w:val="0"/>
          <w:sz w:val="32"/>
          <w:szCs w:val="32"/>
        </w:rPr>
        <w:t xml:space="preserve">   </w:t>
      </w:r>
      <w:r>
        <w:rPr>
          <w:rFonts w:hint="eastAsia" w:ascii="仿宋" w:hAnsi="仿宋" w:eastAsia="仿宋"/>
          <w:kern w:val="0"/>
          <w:sz w:val="32"/>
          <w:szCs w:val="32"/>
        </w:rPr>
        <w:tab/>
      </w:r>
      <w:r>
        <w:rPr>
          <w:rFonts w:hint="eastAsia" w:ascii="仿宋" w:hAnsi="仿宋" w:eastAsia="仿宋"/>
          <w:kern w:val="0"/>
          <w:sz w:val="32"/>
          <w:szCs w:val="32"/>
        </w:rPr>
        <w:t xml:space="preserve"> 证券简称：</w:t>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ab/>
      </w:r>
      <w:r>
        <w:rPr>
          <w:rFonts w:hint="eastAsia" w:ascii="仿宋" w:hAnsi="仿宋" w:eastAsia="仿宋"/>
          <w:kern w:val="0"/>
          <w:sz w:val="32"/>
          <w:szCs w:val="32"/>
        </w:rPr>
        <w:t>公告编号：</w:t>
      </w:r>
    </w:p>
    <w:p>
      <w:pPr>
        <w:widowControl/>
        <w:spacing w:line="560" w:lineRule="exact"/>
        <w:jc w:val="center"/>
        <w:rPr>
          <w:rFonts w:ascii="仿宋" w:hAnsi="仿宋" w:eastAsia="仿宋"/>
          <w:kern w:val="0"/>
          <w:sz w:val="32"/>
          <w:szCs w:val="32"/>
        </w:rPr>
      </w:pPr>
      <w:r>
        <w:rPr>
          <w:rFonts w:hint="eastAsia" w:ascii="仿宋" w:hAnsi="仿宋" w:eastAsia="仿宋"/>
          <w:kern w:val="0"/>
          <w:sz w:val="32"/>
          <w:szCs w:val="32"/>
        </w:rPr>
        <w:t>XXXXXX股份有限公司XX股东股份质押（冻结或拍卖等）的公告</w:t>
      </w:r>
    </w:p>
    <w:p>
      <w:pPr>
        <w:overflowPunct w:val="0"/>
        <w:autoSpaceDE w:val="0"/>
        <w:autoSpaceDN w:val="0"/>
        <w:adjustRightInd w:val="0"/>
        <w:spacing w:line="560" w:lineRule="exact"/>
        <w:ind w:firstLine="480"/>
        <w:rPr>
          <w:rFonts w:ascii="仿宋" w:hAnsi="仿宋" w:eastAsia="仿宋" w:cs="宋体"/>
          <w:kern w:val="0"/>
          <w:sz w:val="32"/>
          <w:szCs w:val="32"/>
        </w:rPr>
      </w:pPr>
      <w:r>
        <w:rPr>
          <w:rFonts w:hint="eastAsia"/>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142875</wp:posOffset>
                </wp:positionV>
                <wp:extent cx="5915025" cy="1628775"/>
                <wp:effectExtent l="0" t="0" r="28575" b="2857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1.25pt;height:128.25pt;width:465.75pt;mso-position-horizontal:center;mso-position-horizontal-relative:margin;z-index:251714560;mso-width-relative:page;mso-height-relative:page;" fillcolor="#FFFFFF" filled="t" stroked="t" coordsize="21600,21600" o:gfxdata="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QwTodYAAAAHAQAADwAAAAAAAAABACAAAAAiAAAAZHJzL2Rvd25yZXYu&#10;eG1sUEsBAhQAFAAAAAgAh07iQLq5DYo2AgAAewQAAA4AAAAAAAAAAQAgAAAAJQEAAGRycy9lMm9E&#10;b2MueG1sUEsFBgAAAAAGAAYAWQEAAM0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sz w:val="32"/>
                          <w:szCs w:val="32"/>
                        </w:rPr>
                      </w:pPr>
                      <w:r>
                        <w:rPr>
                          <w:rFonts w:hint="eastAsia" w:ascii="仿宋" w:hAnsi="仿宋" w:eastAsia="仿宋"/>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sz w:val="32"/>
                          <w:szCs w:val="32"/>
                        </w:rPr>
                      </w:pPr>
                      <w:r>
                        <w:rPr>
                          <w:rFonts w:hint="eastAsia" w:ascii="仿宋" w:hAnsi="仿宋" w:eastAsia="仿宋"/>
                          <w:sz w:val="32"/>
                          <w:szCs w:val="32"/>
                        </w:rPr>
                        <w:t>董事XXX因</w:t>
                      </w:r>
                      <w:r>
                        <w:rPr>
                          <w:rFonts w:hint="eastAsia" w:ascii="仿宋" w:hAnsi="仿宋" w:eastAsia="仿宋"/>
                          <w:sz w:val="32"/>
                          <w:szCs w:val="32"/>
                          <w:u w:val="single"/>
                        </w:rPr>
                        <w:t>（具体和明确的理由）</w:t>
                      </w:r>
                      <w:r>
                        <w:rPr>
                          <w:rFonts w:hint="eastAsia" w:ascii="仿宋" w:hAnsi="仿宋" w:eastAsia="仿宋"/>
                          <w:sz w:val="32"/>
                          <w:szCs w:val="32"/>
                        </w:rPr>
                        <w:t>不能保证公告内容真实、准确、完整。</w:t>
                      </w:r>
                    </w:p>
                  </w:txbxContent>
                </v:textbox>
              </v:rect>
            </w:pict>
          </mc:Fallback>
        </mc:AlternateContent>
      </w: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cs="宋体"/>
          <w:kern w:val="0"/>
          <w:sz w:val="32"/>
          <w:szCs w:val="32"/>
        </w:rPr>
      </w:pPr>
    </w:p>
    <w:p>
      <w:pPr>
        <w:overflowPunct w:val="0"/>
        <w:autoSpaceDE w:val="0"/>
        <w:autoSpaceDN w:val="0"/>
        <w:adjustRightInd w:val="0"/>
        <w:spacing w:line="560" w:lineRule="exact"/>
        <w:ind w:firstLine="480"/>
        <w:rPr>
          <w:rFonts w:ascii="仿宋" w:hAnsi="仿宋" w:eastAsia="仿宋"/>
          <w:kern w:val="0"/>
          <w:sz w:val="32"/>
          <w:szCs w:val="32"/>
        </w:rPr>
      </w:pPr>
    </w:p>
    <w:p>
      <w:pPr>
        <w:adjustRightIn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特别风险提示：</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1．控股股东或第一大股东及其一致行动人质押股份数量，或者累计被冻结或拍卖等股份数量（含本次）占其所持公司股份数量比例达到或超过80%，请投资者注意相关风险（如适用）。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2．上市公司股东及其一致行动人所持公司5%以上的股份出现平仓风险或被强制过户风险，请投资者注意相关风险（如适用）。</w:t>
      </w:r>
    </w:p>
    <w:p>
      <w:pPr>
        <w:widowControl/>
        <w:spacing w:line="560" w:lineRule="exact"/>
        <w:ind w:firstLine="643" w:firstLineChars="200"/>
        <w:rPr>
          <w:rFonts w:ascii="仿宋" w:hAnsi="仿宋" w:eastAsia="仿宋" w:cs="宋体"/>
          <w:b/>
          <w:kern w:val="0"/>
          <w:sz w:val="32"/>
          <w:szCs w:val="32"/>
        </w:rPr>
      </w:pPr>
      <w:r>
        <w:rPr>
          <w:rFonts w:hint="eastAsia" w:ascii="仿宋" w:hAnsi="仿宋" w:eastAsia="仿宋" w:cs="宋体"/>
          <w:b/>
          <w:bCs/>
          <w:kern w:val="0"/>
          <w:sz w:val="32"/>
          <w:szCs w:val="32"/>
        </w:rPr>
        <w:t>一、股东股份质押</w:t>
      </w:r>
      <w:r>
        <w:rPr>
          <w:rFonts w:hint="eastAsia" w:ascii="仿宋" w:hAnsi="仿宋" w:eastAsia="仿宋"/>
          <w:b/>
          <w:color w:val="000000"/>
          <w:kern w:val="0"/>
          <w:sz w:val="32"/>
          <w:szCs w:val="32"/>
        </w:rPr>
        <w:t>（冻结或拍卖等）</w:t>
      </w:r>
      <w:r>
        <w:rPr>
          <w:rFonts w:hint="eastAsia" w:ascii="仿宋" w:hAnsi="仿宋" w:eastAsia="仿宋" w:cs="宋体"/>
          <w:b/>
          <w:bCs/>
          <w:kern w:val="0"/>
          <w:sz w:val="32"/>
          <w:szCs w:val="32"/>
        </w:rPr>
        <w:t>基本情况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公司近日接到股东函告（或通过其他途径），获悉其所持有本公司的部分股份被质押（冻结或拍卖等），具体事项如下：</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（一）股东股份质押基本情况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1．本次股份质押基本情况（如有多名股东、多笔质押的，应逐笔分开披露）</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21"/>
        <w:gridCol w:w="639"/>
        <w:gridCol w:w="639"/>
        <w:gridCol w:w="641"/>
        <w:gridCol w:w="1220"/>
        <w:gridCol w:w="936"/>
        <w:gridCol w:w="833"/>
        <w:gridCol w:w="738"/>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股东名称</w:t>
            </w:r>
          </w:p>
        </w:tc>
        <w:tc>
          <w:tcPr>
            <w:tcW w:w="7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是否为控股股东或第一大股东及其一致行动人</w:t>
            </w:r>
          </w:p>
        </w:tc>
        <w:tc>
          <w:tcPr>
            <w:tcW w:w="3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本次质押数量</w:t>
            </w:r>
          </w:p>
        </w:tc>
        <w:tc>
          <w:tcPr>
            <w:tcW w:w="37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占其所持股份比例</w:t>
            </w:r>
          </w:p>
        </w:tc>
        <w:tc>
          <w:tcPr>
            <w:tcW w:w="38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sz w:val="24"/>
                <w:szCs w:val="24"/>
              </w:rPr>
              <w:t>占公司总股本比例</w:t>
            </w:r>
          </w:p>
        </w:tc>
        <w:tc>
          <w:tcPr>
            <w:tcW w:w="72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是否为限售股（如是，注明限售类型）</w:t>
            </w:r>
          </w:p>
        </w:tc>
        <w:tc>
          <w:tcPr>
            <w:tcW w:w="55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是否为补充质押</w:t>
            </w:r>
          </w:p>
        </w:tc>
        <w:tc>
          <w:tcPr>
            <w:tcW w:w="4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质押起始日</w:t>
            </w:r>
          </w:p>
        </w:tc>
        <w:tc>
          <w:tcPr>
            <w:tcW w:w="43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质押到期日</w:t>
            </w:r>
          </w:p>
        </w:tc>
        <w:tc>
          <w:tcPr>
            <w:tcW w:w="2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质权人</w:t>
            </w:r>
          </w:p>
        </w:tc>
        <w:tc>
          <w:tcPr>
            <w:tcW w:w="25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质押用途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sz w:val="24"/>
                <w:szCs w:val="24"/>
              </w:rPr>
            </w:pPr>
          </w:p>
        </w:tc>
        <w:tc>
          <w:tcPr>
            <w:tcW w:w="7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72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5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9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3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sz w:val="24"/>
                <w:szCs w:val="24"/>
              </w:rPr>
            </w:pPr>
          </w:p>
        </w:tc>
        <w:tc>
          <w:tcPr>
            <w:tcW w:w="7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72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5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9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3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r>
              <w:rPr>
                <w:rFonts w:hint="eastAsia" w:ascii="仿宋" w:hAnsi="仿宋" w:eastAsia="仿宋"/>
                <w:b/>
                <w:sz w:val="24"/>
                <w:szCs w:val="24"/>
              </w:rPr>
              <w:t>合计</w:t>
            </w:r>
          </w:p>
        </w:tc>
        <w:tc>
          <w:tcPr>
            <w:tcW w:w="7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7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72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5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9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43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sz w:val="24"/>
                <w:szCs w:val="24"/>
              </w:rPr>
            </w:pPr>
          </w:p>
        </w:tc>
        <w:tc>
          <w:tcPr>
            <w:tcW w:w="250"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sz w:val="24"/>
                <w:szCs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质押用途应明确具体类型，包括但不限于：支持上市公司生产经营、个人消费、偿还债务、自身生产经营、股权类投资、债权类投资、不动产投资、二级市场证券投资、委托理财、补充质押、其他（请注明具体类型）等。</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质押股份是否负担重大资产重组等业绩补偿义务，如是，请说明质权人知悉相关股份具有潜在业绩补偿义务的情况，以及与质权人就相关股份在履行业绩补偿义务时处置方式的约定。</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2．股东股份累计质押情况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截至公告披露日，上述股东及其一致行动人所持质押股份情况如下：</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648"/>
        <w:gridCol w:w="648"/>
        <w:gridCol w:w="808"/>
        <w:gridCol w:w="808"/>
        <w:gridCol w:w="808"/>
        <w:gridCol w:w="808"/>
        <w:gridCol w:w="939"/>
        <w:gridCol w:w="729"/>
        <w:gridCol w:w="83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92"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股东名称</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持股数量</w:t>
            </w:r>
          </w:p>
        </w:tc>
        <w:tc>
          <w:tcPr>
            <w:tcW w:w="380"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持股比例</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本次质押前质押股份数量</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本次质押后质押股份数量</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占其所持股份比例</w:t>
            </w:r>
          </w:p>
        </w:tc>
        <w:tc>
          <w:tcPr>
            <w:tcW w:w="474" w:type="pct"/>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sz w:val="24"/>
                <w:szCs w:val="24"/>
              </w:rPr>
              <w:t>占公司总股本比例</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kern w:val="0"/>
                <w:sz w:val="24"/>
                <w:szCs w:val="24"/>
              </w:rPr>
            </w:pPr>
            <w:r>
              <w:rPr>
                <w:rFonts w:hint="eastAsia" w:ascii="仿宋" w:hAnsi="仿宋" w:eastAsia="仿宋"/>
                <w:b/>
                <w:kern w:val="0"/>
                <w:sz w:val="24"/>
                <w:szCs w:val="24"/>
              </w:rPr>
              <w:t>已质押股份</w:t>
            </w:r>
          </w:p>
          <w:p>
            <w:pPr>
              <w:ind w:firstLine="200"/>
              <w:jc w:val="center"/>
              <w:rPr>
                <w:rFonts w:ascii="仿宋" w:hAnsi="仿宋" w:eastAsia="仿宋"/>
                <w:b/>
                <w:kern w:val="0"/>
                <w:sz w:val="24"/>
                <w:szCs w:val="24"/>
              </w:rPr>
            </w:pPr>
            <w:r>
              <w:rPr>
                <w:rFonts w:hint="eastAsia" w:ascii="仿宋" w:hAnsi="仿宋" w:eastAsia="仿宋"/>
                <w:b/>
                <w:kern w:val="0"/>
                <w:sz w:val="24"/>
                <w:szCs w:val="24"/>
              </w:rPr>
              <w:t>情况</w:t>
            </w:r>
          </w:p>
        </w:tc>
        <w:tc>
          <w:tcPr>
            <w:tcW w:w="973" w:type="pct"/>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kern w:val="0"/>
                <w:sz w:val="24"/>
                <w:szCs w:val="24"/>
              </w:rPr>
            </w:pPr>
            <w:r>
              <w:rPr>
                <w:rFonts w:hint="eastAsia" w:ascii="仿宋" w:hAnsi="仿宋" w:eastAsia="仿宋"/>
                <w:b/>
                <w:kern w:val="0"/>
                <w:sz w:val="24"/>
                <w:szCs w:val="24"/>
              </w:rPr>
              <w:t>未质押股份</w:t>
            </w:r>
          </w:p>
          <w:p>
            <w:pPr>
              <w:ind w:firstLine="200"/>
              <w:jc w:val="center"/>
              <w:rPr>
                <w:rFonts w:ascii="仿宋" w:hAnsi="仿宋" w:eastAsia="仿宋"/>
                <w:b/>
                <w:kern w:val="0"/>
                <w:sz w:val="24"/>
                <w:szCs w:val="24"/>
              </w:rPr>
            </w:pPr>
            <w:r>
              <w:rPr>
                <w:rFonts w:hint="eastAsia" w:ascii="仿宋" w:hAnsi="仿宋" w:eastAsia="仿宋"/>
                <w:b/>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55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已质押股份限售和冻结、标记数量</w:t>
            </w:r>
          </w:p>
        </w:tc>
        <w:tc>
          <w:tcPr>
            <w:tcW w:w="42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占已质押股份比例</w:t>
            </w:r>
          </w:p>
        </w:tc>
        <w:tc>
          <w:tcPr>
            <w:tcW w:w="489"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未质押股份限售和冻结数量</w:t>
            </w:r>
          </w:p>
        </w:tc>
        <w:tc>
          <w:tcPr>
            <w:tcW w:w="48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占未质押股份比例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5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51" w:type="pc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sz w:val="24"/>
                <w:szCs w:val="24"/>
              </w:rPr>
            </w:pPr>
          </w:p>
        </w:tc>
        <w:tc>
          <w:tcPr>
            <w:tcW w:w="42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r>
              <w:rPr>
                <w:rFonts w:hint="eastAsia" w:ascii="仿宋" w:hAnsi="仿宋" w:eastAsia="仿宋"/>
                <w:b/>
                <w:sz w:val="24"/>
                <w:szCs w:val="24"/>
              </w:rPr>
              <w:t>合计</w:t>
            </w: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8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5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8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bl>
    <w:p>
      <w:pPr>
        <w:overflowPunct w:val="0"/>
        <w:autoSpaceDE w:val="0"/>
        <w:autoSpaceDN w:val="0"/>
        <w:adjustRightInd w:val="0"/>
        <w:spacing w:line="560" w:lineRule="exact"/>
        <w:ind w:firstLine="640" w:firstLineChars="200"/>
        <w:rPr>
          <w:rFonts w:ascii="仿宋" w:hAnsi="仿宋" w:eastAsia="仿宋" w:cs="宋体"/>
          <w:kern w:val="0"/>
          <w:sz w:val="32"/>
          <w:szCs w:val="32"/>
        </w:rPr>
      </w:pPr>
      <w:r>
        <w:rPr>
          <w:rFonts w:hint="eastAsia" w:ascii="仿宋" w:hAnsi="仿宋" w:eastAsia="仿宋"/>
          <w:color w:val="000000"/>
          <w:kern w:val="0"/>
          <w:sz w:val="32"/>
          <w:szCs w:val="32"/>
        </w:rPr>
        <w:t>（二）控股股东或第一大股东</w:t>
      </w:r>
      <w:r>
        <w:rPr>
          <w:rFonts w:hint="eastAsia" w:ascii="仿宋" w:hAnsi="仿宋" w:eastAsia="仿宋" w:cs="宋体"/>
          <w:kern w:val="0"/>
          <w:sz w:val="32"/>
          <w:szCs w:val="32"/>
        </w:rPr>
        <w:t>及其一致行动人股份质押情况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控股股东或第一大股东及其一致行动人质押股份数量占其所持公司股份数量比例达到或超过50%的，对于本次及后续每笔股份质押，除需按照本公告格式披露“（一）股东股份质押基本情况”外，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（1）本次股份质押融资是否用于满足上市公司生产经营相关需求。</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（2）未来半年内和一年内分别到期的质押股份累计数量、</w:t>
      </w:r>
      <w:r>
        <w:rPr>
          <w:rFonts w:hint="eastAsia" w:ascii="仿宋" w:hAnsi="仿宋" w:eastAsia="仿宋" w:cs="宋体"/>
          <w:kern w:val="0"/>
          <w:sz w:val="32"/>
          <w:szCs w:val="32"/>
        </w:rPr>
        <w:t>占其所持股份比例、</w:t>
      </w:r>
      <w:r>
        <w:rPr>
          <w:rFonts w:hint="eastAsia" w:ascii="仿宋" w:hAnsi="仿宋" w:eastAsia="仿宋" w:cs="宋体"/>
          <w:sz w:val="32"/>
          <w:szCs w:val="32"/>
        </w:rPr>
        <w:t>占公司总股本比例、</w:t>
      </w:r>
      <w:r>
        <w:rPr>
          <w:rFonts w:hint="eastAsia" w:ascii="仿宋" w:hAnsi="仿宋" w:eastAsia="仿宋"/>
          <w:color w:val="000000"/>
          <w:kern w:val="0"/>
          <w:sz w:val="32"/>
          <w:szCs w:val="32"/>
        </w:rPr>
        <w:t>对应融资余额，并说明还款资金来源及资金偿付能力。</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（3）是否存在非经营性资金占用、违规担保等侵害上市公司利益的情形。如是，请说明具体情况及解决措施，本次股份质押融资是否用于解决上述情形。</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股份质押事项对上市公司生产经营（包括但不限于购销业务、融资授信及融资成本、持续经营能力）、公司治理（包括但不限于股权或控制权稳定、三会运作、日常管理）、业绩补偿义务履行（包括但不限于业绩补偿义务概况、预计补偿金额及方式、履行能力和履行保障，如适用）等可能产生的影响，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2．控股股东或第一大股东及其一致行动人质押股份数量占其所持公司股份数量比例达到或超过80%的，除需按照前条要求披露外，还应当披露以下信息：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控股股东或第一大股东及其一致行动人如为法人的，应当说明名称、企业性质、注册地、主要办公地点、法定代表人、注册资本、经营范围、主营业务情况、最近一年及一期主要财务数据（包括但不限于资产总额、负债总额、营业收入、净利润和经营活动产生的现金流量净额）和偿债能力指标（包括但不限于资产负债率、流动比率、速动比率、现金/流动负债比率）；当前各类借款总余额，未来半年内和一年内需偿付的上述债务金额（包含对外发行债券的，还应当说明已发行债券余额、到期时间和回售安排等），最近一年是否存在大额债务逾期或违约记录及金额，是否存在主体和债项信用等级下调的情形，因债务问题涉及的重大诉讼或仲裁情况，并结合股东自身资金实力、可利用的融资渠道及授信额度等，分析是否存在偿债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控股股东或第一大股东及其一致行动人如为自然人的，应当说明其姓名、性别、国籍、住所、最近三年的职业和职务，控制的核心企业或资产的主营业务情况、最近一年及一期主要财务数据和偿债能力指标，并结合股东自身资金实力、可利用的融资渠道及授信额度等，分析是否存在偿债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（3）本次股份质押融资资金具体用途和预计还款资金来源。</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（4）高比例质押股份的原因及必要性，结合履约保障比例和可追加担保资产情况等，分析股东履约能力和追加担保能力，并说明是否存在平仓风险，以及拟采取的防范应对措施。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（5）最近一年又一期与上市公司资金往来、关联交易、担保等重大利益往来情况，说明是否存在侵害上市公司利益的情形。如是，请说明具体情况及解决措施，本次股份质押融资是否用于解决上述情形。</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本次质押为补充质押的，可免于披露本条第（1）项至第（3）项信息。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（三）股东股份被冻结或拍卖等基本情况</w:t>
      </w:r>
    </w:p>
    <w:p>
      <w:pPr>
        <w:tabs>
          <w:tab w:val="left" w:pos="1800"/>
          <w:tab w:val="left" w:pos="1980"/>
        </w:tabs>
        <w:spacing w:line="560" w:lineRule="exact"/>
        <w:ind w:firstLine="614" w:firstLineChars="192"/>
        <w:rPr>
          <w:rFonts w:ascii="仿宋" w:hAnsi="仿宋" w:eastAsia="仿宋"/>
          <w:sz w:val="32"/>
          <w:szCs w:val="32"/>
        </w:rPr>
      </w:pPr>
      <w:r>
        <w:rPr>
          <w:rFonts w:hint="eastAsia" w:ascii="仿宋" w:hAnsi="仿宋" w:eastAsia="仿宋"/>
          <w:sz w:val="32"/>
          <w:szCs w:val="32"/>
        </w:rPr>
        <w:t>1．本次股份被冻结或拍卖等基本情况</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70"/>
        <w:gridCol w:w="1087"/>
        <w:gridCol w:w="803"/>
        <w:gridCol w:w="803"/>
        <w:gridCol w:w="883"/>
        <w:gridCol w:w="723"/>
        <w:gridCol w:w="602"/>
        <w:gridCol w:w="96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股东名称</w:t>
            </w:r>
          </w:p>
        </w:tc>
        <w:tc>
          <w:tcPr>
            <w:tcW w:w="80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是否为控股股东或第一大股东及其一致行动人</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本次冻结/标记/拍卖等股份数量</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占其所持股份比例</w:t>
            </w:r>
          </w:p>
        </w:tc>
        <w:tc>
          <w:tcPr>
            <w:tcW w:w="47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sz w:val="24"/>
                <w:szCs w:val="24"/>
              </w:rPr>
              <w:t>占公司总股本比例</w:t>
            </w:r>
          </w:p>
        </w:tc>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是否为限售股及限售类型</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起始日</w:t>
            </w:r>
          </w:p>
        </w:tc>
        <w:tc>
          <w:tcPr>
            <w:tcW w:w="35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到期日</w:t>
            </w:r>
          </w:p>
        </w:tc>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冻结申请人/拍卖人等</w:t>
            </w:r>
          </w:p>
        </w:tc>
        <w:tc>
          <w:tcPr>
            <w:tcW w:w="3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80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3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6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4"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80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3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6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4"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02"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r>
              <w:rPr>
                <w:rFonts w:hint="eastAsia" w:ascii="仿宋" w:hAnsi="仿宋" w:eastAsia="仿宋"/>
                <w:b/>
                <w:sz w:val="24"/>
                <w:szCs w:val="24"/>
              </w:rPr>
              <w:t>合计</w:t>
            </w:r>
          </w:p>
        </w:tc>
        <w:tc>
          <w:tcPr>
            <w:tcW w:w="80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3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3"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6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54" w:type="pct"/>
            <w:tcBorders>
              <w:top w:val="single" w:color="auto" w:sz="4" w:space="0"/>
              <w:left w:val="single" w:color="auto" w:sz="4" w:space="0"/>
              <w:bottom w:val="single" w:color="auto" w:sz="4" w:space="0"/>
              <w:right w:val="single" w:color="auto" w:sz="4" w:space="0"/>
            </w:tcBorders>
          </w:tcPr>
          <w:p>
            <w:pPr>
              <w:ind w:firstLine="200"/>
              <w:rPr>
                <w:rFonts w:ascii="仿宋" w:hAnsi="仿宋" w:eastAsia="仿宋"/>
                <w:b/>
                <w:sz w:val="24"/>
                <w:szCs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根据《关于进一步规范人民法院冻结上市公司质押股票工作的意见》，股东所持质押股份被标记的，还应当披露涉及的人民法院案件债权额及执行费用，人民法院需要冻结的股份数量。同时，请简要说明本次标记涉及质押股份的基本情况或索引相关公告。</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2．股东股份累计被冻结或拍卖等情况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截至公告披露日，上述股东及其一致行动人所持股份累计被冻结或拍卖等情况如下：</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186"/>
        <w:gridCol w:w="881"/>
        <w:gridCol w:w="1323"/>
        <w:gridCol w:w="1243"/>
        <w:gridCol w:w="131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股东名称</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持股数量</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持股比例</w:t>
            </w:r>
          </w:p>
        </w:tc>
        <w:tc>
          <w:tcPr>
            <w:tcW w:w="77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累计被冻结/拍卖等数量</w:t>
            </w:r>
          </w:p>
        </w:tc>
        <w:tc>
          <w:tcPr>
            <w:tcW w:w="7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累计被标记数量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合计占其所持股份比例</w:t>
            </w:r>
          </w:p>
        </w:tc>
        <w:tc>
          <w:tcPr>
            <w:tcW w:w="77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合计</w:t>
            </w:r>
            <w:r>
              <w:rPr>
                <w:rFonts w:hint="eastAsia" w:ascii="仿宋" w:hAnsi="仿宋" w:eastAsia="仿宋"/>
                <w:b/>
                <w:sz w:val="24"/>
                <w:szCs w:val="24"/>
              </w:rPr>
              <w:t>占公司总股本比例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widowControl/>
              <w:ind w:firstLine="200"/>
              <w:jc w:val="center"/>
              <w:rPr>
                <w:rFonts w:ascii="仿宋" w:hAnsi="仿宋" w:eastAsia="仿宋"/>
                <w:b/>
                <w:sz w:val="24"/>
                <w:szCs w:val="24"/>
              </w:rPr>
            </w:pPr>
          </w:p>
        </w:tc>
        <w:tc>
          <w:tcPr>
            <w:tcW w:w="69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2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2"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widowControl/>
              <w:ind w:firstLine="200"/>
              <w:jc w:val="center"/>
              <w:rPr>
                <w:rFonts w:ascii="仿宋" w:hAnsi="仿宋" w:eastAsia="仿宋"/>
                <w:b/>
                <w:sz w:val="24"/>
                <w:szCs w:val="24"/>
              </w:rPr>
            </w:pPr>
          </w:p>
        </w:tc>
        <w:tc>
          <w:tcPr>
            <w:tcW w:w="69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2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2"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pPr>
              <w:widowControl/>
              <w:ind w:firstLine="200"/>
              <w:jc w:val="center"/>
              <w:rPr>
                <w:rFonts w:ascii="仿宋" w:hAnsi="仿宋" w:eastAsia="仿宋"/>
                <w:b/>
                <w:sz w:val="24"/>
                <w:szCs w:val="24"/>
              </w:rPr>
            </w:pPr>
            <w:r>
              <w:rPr>
                <w:rFonts w:hint="eastAsia" w:ascii="仿宋" w:hAnsi="仿宋" w:eastAsia="仿宋"/>
                <w:b/>
                <w:sz w:val="24"/>
                <w:szCs w:val="24"/>
              </w:rPr>
              <w:t>合计</w:t>
            </w:r>
          </w:p>
        </w:tc>
        <w:tc>
          <w:tcPr>
            <w:tcW w:w="69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1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29"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772"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控股股东或第一大股东及其一致行动人累计被冻结和标记等股份数量占其所持公司股份数量比例达到或超过50%，或者累计被冻结和标记等股份数量达到或超过上市公司总股本30%，或者剔除计算累计被冻结和标记等股份将导致丧失控股股东或第一大股东地位的，还应当披露以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（1）最近一年是否存在大额债务逾期或违约记录及金额，是否存在主体和债项信用等级下调的情形，因债务问题涉及的重大诉讼或仲裁情况。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（2）是否存在非经营性资金占用、违规担保等侵害上市公司利益的情形。如是，请说明具体情况及解决措施。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（3）是否可能导致上市公司实际控制权或第一大股东发生变更，对上市公司生产经营、公司治理、业绩补偿义务履行等可能产生的影响，以及拟采取的防范应对措施。</w:t>
      </w:r>
    </w:p>
    <w:p>
      <w:pPr>
        <w:overflowPunct w:val="0"/>
        <w:autoSpaceDE w:val="0"/>
        <w:autoSpaceDN w:val="0"/>
        <w:adjustRightInd w:val="0"/>
        <w:spacing w:line="560" w:lineRule="exact"/>
        <w:ind w:firstLine="643" w:firstLineChars="200"/>
        <w:rPr>
          <w:rFonts w:ascii="仿宋" w:hAnsi="仿宋" w:eastAsia="仿宋" w:cs="宋体"/>
          <w:b/>
          <w:kern w:val="0"/>
          <w:sz w:val="32"/>
          <w:szCs w:val="32"/>
        </w:rPr>
      </w:pPr>
      <w:r>
        <w:rPr>
          <w:rFonts w:hint="eastAsia" w:ascii="仿宋" w:hAnsi="仿宋" w:eastAsia="仿宋" w:cs="宋体"/>
          <w:b/>
          <w:bCs/>
          <w:kern w:val="0"/>
          <w:sz w:val="32"/>
          <w:szCs w:val="32"/>
        </w:rPr>
        <w:t>二、股东股份质押</w:t>
      </w:r>
      <w:r>
        <w:rPr>
          <w:rFonts w:hint="eastAsia" w:ascii="仿宋" w:hAnsi="仿宋" w:eastAsia="仿宋"/>
          <w:b/>
          <w:color w:val="000000"/>
          <w:kern w:val="0"/>
          <w:sz w:val="32"/>
          <w:szCs w:val="32"/>
        </w:rPr>
        <w:t>（冻结或拍卖等）</w:t>
      </w:r>
      <w:r>
        <w:rPr>
          <w:rFonts w:hint="eastAsia" w:ascii="仿宋" w:hAnsi="仿宋" w:eastAsia="仿宋" w:cs="宋体"/>
          <w:b/>
          <w:bCs/>
          <w:kern w:val="0"/>
          <w:sz w:val="32"/>
          <w:szCs w:val="32"/>
        </w:rPr>
        <w:t>后续进展</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（一）股东股份解除质押（解除冻结或拍卖等）</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公司近日接到股东函告（或通过其他途径），获悉其所持有本公司的部分股份解除质押（解除冻结或拍卖等），具体事项如下：</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1．本次解除质押（解除冻结或拍卖等）基本情况</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525"/>
        <w:gridCol w:w="1459"/>
        <w:gridCol w:w="1041"/>
        <w:gridCol w:w="910"/>
        <w:gridCol w:w="910"/>
        <w:gridCol w:w="67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股东名称</w:t>
            </w:r>
          </w:p>
        </w:tc>
        <w:tc>
          <w:tcPr>
            <w:tcW w:w="89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是否为控股股东或第一大股东及其一致行动人</w:t>
            </w:r>
          </w:p>
        </w:tc>
        <w:tc>
          <w:tcPr>
            <w:tcW w:w="856"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本次解除质押/冻结/标记/拍卖等股份数量</w:t>
            </w:r>
          </w:p>
        </w:tc>
        <w:tc>
          <w:tcPr>
            <w:tcW w:w="61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占其所持股份比例</w:t>
            </w:r>
          </w:p>
        </w:tc>
        <w:tc>
          <w:tcPr>
            <w:tcW w:w="53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sz w:val="24"/>
                <w:szCs w:val="24"/>
              </w:rPr>
              <w:t>占公司总股本比例</w:t>
            </w:r>
          </w:p>
        </w:tc>
        <w:tc>
          <w:tcPr>
            <w:tcW w:w="53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起始日</w:t>
            </w:r>
          </w:p>
        </w:tc>
        <w:tc>
          <w:tcPr>
            <w:tcW w:w="394"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解除日期</w:t>
            </w:r>
          </w:p>
        </w:tc>
        <w:tc>
          <w:tcPr>
            <w:tcW w:w="68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kern w:val="0"/>
                <w:sz w:val="24"/>
                <w:szCs w:val="24"/>
              </w:rPr>
            </w:pPr>
            <w:r>
              <w:rPr>
                <w:rFonts w:hint="eastAsia" w:ascii="仿宋" w:hAnsi="仿宋" w:eastAsia="仿宋"/>
                <w:b/>
                <w:kern w:val="0"/>
                <w:sz w:val="24"/>
                <w:szCs w:val="24"/>
              </w:rPr>
              <w:t>质权人/申请人等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89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85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9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8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89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85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9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88" w:type="pc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r>
              <w:rPr>
                <w:rFonts w:hint="eastAsia" w:ascii="仿宋" w:hAnsi="仿宋" w:eastAsia="仿宋"/>
                <w:b/>
                <w:sz w:val="24"/>
                <w:szCs w:val="24"/>
              </w:rPr>
              <w:t>合计</w:t>
            </w:r>
          </w:p>
        </w:tc>
        <w:tc>
          <w:tcPr>
            <w:tcW w:w="89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856"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3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9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88"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2．股东股份累计质押（冻结或拍卖等）基本情况</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截至公告披露日，上述股东及其一致行动人所持质押股份（累计被冻结或拍卖等股份）情况如下：</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615"/>
        <w:gridCol w:w="615"/>
        <w:gridCol w:w="895"/>
        <w:gridCol w:w="801"/>
        <w:gridCol w:w="728"/>
        <w:gridCol w:w="728"/>
        <w:gridCol w:w="1040"/>
        <w:gridCol w:w="723"/>
        <w:gridCol w:w="97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股东名称</w:t>
            </w:r>
          </w:p>
        </w:tc>
        <w:tc>
          <w:tcPr>
            <w:tcW w:w="3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持股数量</w:t>
            </w:r>
          </w:p>
        </w:tc>
        <w:tc>
          <w:tcPr>
            <w:tcW w:w="36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持股比例</w:t>
            </w:r>
          </w:p>
        </w:tc>
        <w:tc>
          <w:tcPr>
            <w:tcW w:w="5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累计被质押/冻结/拍卖等数量</w:t>
            </w:r>
          </w:p>
        </w:tc>
        <w:tc>
          <w:tcPr>
            <w:tcW w:w="47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累计被标记数量（解除冻结/标记适用）</w:t>
            </w:r>
          </w:p>
        </w:tc>
        <w:tc>
          <w:tcPr>
            <w:tcW w:w="4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合计占其所持股份比例</w:t>
            </w:r>
          </w:p>
        </w:tc>
        <w:tc>
          <w:tcPr>
            <w:tcW w:w="4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合计</w:t>
            </w:r>
            <w:r>
              <w:rPr>
                <w:rFonts w:hint="eastAsia" w:ascii="仿宋" w:hAnsi="仿宋" w:eastAsia="仿宋"/>
                <w:b/>
                <w:sz w:val="24"/>
                <w:szCs w:val="24"/>
              </w:rPr>
              <w:t>占公司总股本比例</w:t>
            </w:r>
          </w:p>
        </w:tc>
        <w:tc>
          <w:tcPr>
            <w:tcW w:w="1034" w:type="pct"/>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kern w:val="0"/>
                <w:sz w:val="24"/>
                <w:szCs w:val="24"/>
              </w:rPr>
            </w:pPr>
            <w:r>
              <w:rPr>
                <w:rFonts w:hint="eastAsia" w:ascii="仿宋" w:hAnsi="仿宋" w:eastAsia="仿宋"/>
                <w:b/>
                <w:kern w:val="0"/>
                <w:sz w:val="24"/>
                <w:szCs w:val="24"/>
              </w:rPr>
              <w:t>已质押股份情况（解除质押适用）</w:t>
            </w:r>
          </w:p>
        </w:tc>
        <w:tc>
          <w:tcPr>
            <w:tcW w:w="1034" w:type="pct"/>
            <w:gridSpan w:val="2"/>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kern w:val="0"/>
                <w:sz w:val="24"/>
                <w:szCs w:val="24"/>
              </w:rPr>
            </w:pPr>
            <w:r>
              <w:rPr>
                <w:rFonts w:hint="eastAsia" w:ascii="仿宋" w:hAnsi="仿宋" w:eastAsia="仿宋"/>
                <w:b/>
                <w:kern w:val="0"/>
                <w:sz w:val="24"/>
                <w:szCs w:val="24"/>
              </w:rPr>
              <w:t>未质押股份情况</w:t>
            </w:r>
          </w:p>
          <w:p>
            <w:pPr>
              <w:ind w:firstLine="200"/>
              <w:jc w:val="center"/>
              <w:rPr>
                <w:rFonts w:ascii="仿宋" w:hAnsi="仿宋" w:eastAsia="仿宋"/>
                <w:b/>
                <w:kern w:val="0"/>
                <w:sz w:val="24"/>
                <w:szCs w:val="24"/>
              </w:rPr>
            </w:pPr>
            <w:r>
              <w:rPr>
                <w:rFonts w:hint="eastAsia" w:ascii="仿宋" w:hAnsi="仿宋" w:eastAsia="仿宋"/>
                <w:b/>
                <w:kern w:val="0"/>
                <w:sz w:val="24"/>
                <w:szCs w:val="24"/>
              </w:rPr>
              <w:t>（解除质押适用）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szCs w:val="24"/>
              </w:rPr>
            </w:pPr>
          </w:p>
        </w:tc>
        <w:tc>
          <w:tcPr>
            <w:tcW w:w="61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已质押股份限售和冻结、标记合计数量</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占已质押股份比例</w:t>
            </w:r>
          </w:p>
        </w:tc>
        <w:tc>
          <w:tcPr>
            <w:tcW w:w="57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未质押股份限售和冻结合计数量</w:t>
            </w: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szCs w:val="24"/>
              </w:rPr>
            </w:pPr>
            <w:r>
              <w:rPr>
                <w:rFonts w:hint="eastAsia" w:ascii="仿宋" w:hAnsi="仿宋" w:eastAsia="仿宋"/>
                <w:b/>
                <w:kern w:val="0"/>
                <w:sz w:val="24"/>
                <w:szCs w:val="24"/>
              </w:rPr>
              <w:t>占未质押股份比例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2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6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widowControl/>
              <w:ind w:firstLine="200"/>
              <w:jc w:val="left"/>
              <w:rPr>
                <w:rFonts w:ascii="仿宋" w:hAnsi="仿宋" w:eastAsia="仿宋"/>
                <w:b/>
                <w:sz w:val="24"/>
                <w:szCs w:val="24"/>
              </w:rPr>
            </w:pP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2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0" w:type="pct"/>
            <w:tcBorders>
              <w:top w:val="single" w:color="auto" w:sz="4" w:space="0"/>
              <w:left w:val="single" w:color="auto" w:sz="4" w:space="0"/>
              <w:bottom w:val="single" w:color="auto" w:sz="4" w:space="0"/>
              <w:right w:val="single" w:color="auto" w:sz="4" w:space="0"/>
            </w:tcBorders>
            <w:vAlign w:val="center"/>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6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r>
              <w:rPr>
                <w:rFonts w:hint="eastAsia" w:ascii="仿宋" w:hAnsi="仿宋" w:eastAsia="仿宋"/>
                <w:b/>
                <w:sz w:val="24"/>
                <w:szCs w:val="24"/>
              </w:rPr>
              <w:t>合计</w:t>
            </w: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361"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25"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7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7"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61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2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574"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c>
          <w:tcPr>
            <w:tcW w:w="460" w:type="pct"/>
            <w:tcBorders>
              <w:top w:val="single" w:color="auto" w:sz="4" w:space="0"/>
              <w:left w:val="single" w:color="auto" w:sz="4" w:space="0"/>
              <w:bottom w:val="single" w:color="auto" w:sz="4" w:space="0"/>
              <w:right w:val="single" w:color="auto" w:sz="4" w:space="0"/>
            </w:tcBorders>
          </w:tcPr>
          <w:p>
            <w:pPr>
              <w:ind w:firstLine="200"/>
              <w:jc w:val="center"/>
              <w:rPr>
                <w:rFonts w:ascii="仿宋" w:hAnsi="仿宋" w:eastAsia="仿宋"/>
                <w:b/>
                <w:sz w:val="24"/>
                <w:szCs w:val="24"/>
              </w:rPr>
            </w:pPr>
          </w:p>
        </w:tc>
      </w:tr>
    </w:tbl>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上市公司股东及其一致行动人所持公司5%以上的质押股份发生延期等变化的，应当参照本公告格式披露该部分股份当时质押的基本情况及当前最新情况，并说明发生延期等变化的主要原因，是否具备履约能力。涉及控股股东或第一大股东及其一致行动人的，还应说明质押股份是否存在平仓风险，对上市公司生产经营、公司治理、业绩补偿义务履行等可能产生的影响，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（二）股东股份存在平仓风险或被强制过户风险</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1．上市公司股东及其一致行动人所持公司5%以上的股份存在平仓风险或被强制过户风险时，该股东应当及时通知上市公司并披露如下信息：</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（1）涉及股份的基本情况，包括但不限于股份数量、股份来源、是否处于限售或冻结/标记状态、质权人/申请人等、占股东所持公司股份比例、占公司总股本比例。</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（2）相关股东的履约能力、追加担保能力。</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（3）是否可能导致上市公司实际控制权或第一大股东发生变更，对上市公司生产经营、公司治理、业绩补偿义务履行等的影响，以及拟采取的防范应对措施。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相关股东应及时通知上市公司并披露平仓风险或被强制过户风险的后续进展情况，包括但不限于：解除平仓风险或被强制过户风险的情况；被强制平仓或强制过户情况，上市公司实际控制权或第一大股东是否发生变更，对上市公司生产经营、公司治理、业绩补偿义务履行等的影响，拟采取的应对措施。</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因被强制平仓或强制过户等导致拥有权益的股份数量发生变动的，相关股东还应当按照《证券法》《上市公司收购管理办法》《上市公司股东减持股份管理办法》、本所《上市公司</w:t>
      </w:r>
      <w:r>
        <w:rPr>
          <w:rFonts w:hint="eastAsia" w:ascii="仿宋" w:hAnsi="仿宋" w:eastAsia="仿宋"/>
          <w:color w:val="000000"/>
          <w:sz w:val="32"/>
          <w:szCs w:val="32"/>
        </w:rPr>
        <w:t>自律监管指引第18号——</w:t>
      </w:r>
      <w:r>
        <w:rPr>
          <w:rFonts w:hint="eastAsia" w:ascii="仿宋" w:hAnsi="仿宋" w:eastAsia="仿宋"/>
          <w:color w:val="000000"/>
          <w:kern w:val="0"/>
          <w:sz w:val="32"/>
          <w:szCs w:val="32"/>
        </w:rPr>
        <w:t>股东及董事、监事、高级管理人员减持股份》等相关规定，履行信息披露等义务。</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3．上市公司董事会、监事会、处于持续督导期的保荐人和财务顾问（如适用）应当对控股股东或第一大股东及其一致行动人存在平仓风险或被强制过户风险时披露的以下事项进行核查并发表意见：</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（1）是否可能导致上市公司实际控制权或第一大股东发生变更。</w:t>
      </w:r>
    </w:p>
    <w:p>
      <w:pPr>
        <w:overflowPunct w:val="0"/>
        <w:autoSpaceDE w:val="0"/>
        <w:autoSpaceDN w:val="0"/>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（2）对上市公司生产经营、公司治理、业绩补偿义务履行等的影响。</w:t>
      </w:r>
    </w:p>
    <w:p>
      <w:pPr>
        <w:widowControl/>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三、备查文件</w:t>
      </w:r>
    </w:p>
    <w:p>
      <w:pPr>
        <w:widowControl/>
        <w:spacing w:line="560" w:lineRule="exact"/>
        <w:ind w:right="-147" w:rightChars="-70" w:firstLine="640" w:firstLineChars="200"/>
        <w:rPr>
          <w:rFonts w:ascii="仿宋" w:hAnsi="仿宋" w:eastAsia="仿宋" w:cs="宋体"/>
          <w:kern w:val="0"/>
          <w:sz w:val="32"/>
          <w:szCs w:val="32"/>
        </w:rPr>
      </w:pPr>
      <w:r>
        <w:rPr>
          <w:rFonts w:hint="eastAsia" w:ascii="仿宋" w:hAnsi="仿宋" w:eastAsia="仿宋" w:cs="宋体"/>
          <w:kern w:val="0"/>
          <w:sz w:val="32"/>
          <w:szCs w:val="32"/>
        </w:rPr>
        <w:t>1．股份质押登记证明；</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2．中国证券登记结算有限责任公司股份冻结明细；</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3．其他相关机构或单位出具的质押（冻结或拍卖等）证明文件；</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4．董事会、监事会的书面意见（如适用）；</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5．保荐人或财务顾问的书面意见（如适用）；</w:t>
      </w:r>
    </w:p>
    <w:p>
      <w:pPr>
        <w:widowControl/>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6．深交所要求的其他文件。</w:t>
      </w:r>
    </w:p>
    <w:p>
      <w:pPr>
        <w:widowControl/>
        <w:spacing w:line="560" w:lineRule="exact"/>
        <w:ind w:firstLine="6880" w:firstLineChars="2150"/>
        <w:rPr>
          <w:rFonts w:ascii="仿宋" w:hAnsi="仿宋" w:eastAsia="仿宋" w:cs="宋体"/>
          <w:kern w:val="0"/>
          <w:sz w:val="32"/>
          <w:szCs w:val="32"/>
        </w:rPr>
      </w:pPr>
    </w:p>
    <w:p>
      <w:pPr>
        <w:widowControl/>
        <w:spacing w:line="560" w:lineRule="exact"/>
        <w:ind w:firstLine="4320" w:firstLineChars="1350"/>
        <w:jc w:val="right"/>
        <w:rPr>
          <w:rFonts w:ascii="仿宋" w:hAnsi="仿宋" w:eastAsia="仿宋" w:cs="宋体"/>
          <w:kern w:val="0"/>
          <w:sz w:val="32"/>
          <w:szCs w:val="32"/>
        </w:rPr>
      </w:pPr>
      <w:r>
        <w:rPr>
          <w:rFonts w:hint="eastAsia" w:ascii="仿宋" w:hAnsi="仿宋" w:eastAsia="仿宋" w:cs="宋体"/>
          <w:kern w:val="0"/>
          <w:sz w:val="32"/>
          <w:szCs w:val="32"/>
        </w:rPr>
        <w:t>XX股份有限公司董事会</w:t>
      </w:r>
    </w:p>
    <w:p>
      <w:pPr>
        <w:spacing w:line="560" w:lineRule="exact"/>
        <w:ind w:firstLine="200"/>
        <w:jc w:val="right"/>
        <w:rPr>
          <w:rFonts w:hint="eastAsia" w:ascii="仿宋" w:hAnsi="仿宋" w:eastAsia="仿宋" w:cs="宋体"/>
          <w:kern w:val="0"/>
          <w:sz w:val="32"/>
          <w:szCs w:val="32"/>
        </w:rPr>
      </w:pPr>
      <w:r>
        <w:rPr>
          <w:rFonts w:hint="eastAsia" w:ascii="仿宋" w:hAnsi="仿宋" w:eastAsia="仿宋" w:cs="宋体"/>
          <w:kern w:val="0"/>
          <w:sz w:val="32"/>
          <w:szCs w:val="32"/>
        </w:rPr>
        <w:t xml:space="preserve">                      XXXX年XX月XX日</w:t>
      </w:r>
      <w:bookmarkEnd w:id="535"/>
      <w:bookmarkEnd w:id="536"/>
      <w:bookmarkEnd w:id="570"/>
    </w:p>
    <w:p>
      <w:pPr>
        <w:rPr>
          <w:rFonts w:hint="eastAsia" w:ascii="仿宋" w:hAnsi="仿宋" w:eastAsia="仿宋" w:cs="宋体"/>
          <w:kern w:val="0"/>
          <w:sz w:val="32"/>
          <w:szCs w:val="32"/>
        </w:rPr>
      </w:pPr>
      <w:r>
        <w:rPr>
          <w:rFonts w:hint="eastAsia" w:ascii="仿宋" w:hAnsi="仿宋" w:eastAsia="仿宋" w:cs="宋体"/>
          <w:kern w:val="0"/>
          <w:sz w:val="32"/>
          <w:szCs w:val="32"/>
        </w:rPr>
        <w:br w:type="page"/>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2"/>
        <w:rPr>
          <w:rFonts w:hint="eastAsia" w:ascii="方正小标宋简体" w:eastAsia="方正小标宋简体"/>
          <w:sz w:val="44"/>
          <w:szCs w:val="44"/>
        </w:rPr>
      </w:pPr>
      <w:bookmarkStart w:id="571" w:name="_Toc2091"/>
      <w:r>
        <w:rPr>
          <w:rFonts w:hint="eastAsia" w:ascii="方正小标宋简体" w:eastAsia="方正小标宋简体"/>
          <w:sz w:val="44"/>
          <w:szCs w:val="44"/>
          <w:lang w:eastAsia="zh-CN"/>
        </w:rPr>
        <w:t>其他事项</w:t>
      </w:r>
      <w:r>
        <w:rPr>
          <w:rFonts w:hint="eastAsia" w:ascii="方正小标宋简体" w:eastAsia="方正小标宋简体"/>
          <w:sz w:val="44"/>
          <w:szCs w:val="44"/>
        </w:rPr>
        <w:t>类第</w:t>
      </w:r>
      <w:r>
        <w:rPr>
          <w:rFonts w:hint="eastAsia" w:ascii="方正小标宋简体" w:eastAsia="方正小标宋简体"/>
          <w:sz w:val="44"/>
          <w:szCs w:val="44"/>
          <w:lang w:val="en-US" w:eastAsia="zh-CN"/>
        </w:rPr>
        <w:t>10</w:t>
      </w:r>
      <w:r>
        <w:rPr>
          <w:rFonts w:hint="eastAsia" w:ascii="方正小标宋简体" w:eastAsia="方正小标宋简体"/>
          <w:sz w:val="44"/>
          <w:szCs w:val="44"/>
        </w:rPr>
        <w:t>号</w:t>
      </w:r>
      <w:bookmarkEnd w:id="571"/>
      <w:r>
        <w:rPr>
          <w:rFonts w:hint="eastAsia" w:ascii="方正小标宋简体" w:eastAsia="方正小标宋简体"/>
          <w:sz w:val="44"/>
          <w:szCs w:val="44"/>
        </w:rPr>
        <w:t>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2"/>
        <w:rPr>
          <w:rFonts w:ascii="方正小标宋简体" w:hAnsi="仿宋" w:eastAsia="方正小标宋简体"/>
          <w:kern w:val="44"/>
          <w:sz w:val="44"/>
          <w:szCs w:val="44"/>
        </w:rPr>
      </w:pPr>
      <w:bookmarkStart w:id="572" w:name="_Toc10020"/>
      <w:bookmarkStart w:id="573" w:name="_Toc1195"/>
      <w:bookmarkStart w:id="574" w:name="_Toc13561"/>
      <w:r>
        <w:rPr>
          <w:rFonts w:hint="eastAsia" w:ascii="方正小标宋简体" w:eastAsia="方正小标宋简体"/>
          <w:sz w:val="44"/>
          <w:szCs w:val="44"/>
        </w:rPr>
        <w:t>上市公司</w:t>
      </w:r>
      <w:r>
        <w:rPr>
          <w:rFonts w:hint="eastAsia" w:ascii="方正小标宋简体" w:eastAsia="方正小标宋简体"/>
          <w:sz w:val="44"/>
          <w:szCs w:val="44"/>
          <w:lang w:eastAsia="zh-CN"/>
        </w:rPr>
        <w:t>估值提升计划</w:t>
      </w:r>
      <w:r>
        <w:rPr>
          <w:rFonts w:hint="eastAsia" w:ascii="方正小标宋简体" w:eastAsia="方正小标宋简体"/>
          <w:sz w:val="44"/>
          <w:szCs w:val="44"/>
        </w:rPr>
        <w:t>公告格式</w:t>
      </w:r>
      <w:bookmarkEnd w:id="572"/>
      <w:bookmarkEnd w:id="573"/>
      <w:bookmarkEnd w:id="574"/>
    </w:p>
    <w:p>
      <w:pPr>
        <w:keepNext w:val="0"/>
        <w:keepLines w:val="0"/>
        <w:pageBreakBefore w:val="0"/>
        <w:widowControl w:val="0"/>
        <w:kinsoku/>
        <w:wordWrap/>
        <w:overflowPunct/>
        <w:topLinePunct w:val="0"/>
        <w:autoSpaceDE w:val="0"/>
        <w:autoSpaceDN w:val="0"/>
        <w:bidi w:val="0"/>
        <w:adjustRightInd w:val="0"/>
        <w:spacing w:line="560" w:lineRule="exact"/>
        <w:jc w:val="left"/>
        <w:textAlignment w:val="auto"/>
        <w:rPr>
          <w:rFonts w:hint="eastAsia" w:ascii="仿宋" w:hAnsi="仿宋" w:eastAsia="仿宋"/>
          <w:b/>
          <w:bCs/>
          <w:sz w:val="32"/>
          <w:szCs w:val="32"/>
          <w:lang w:eastAsia="zh-CN"/>
        </w:rPr>
      </w:pP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适用情形：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Times New Roman"/>
          <w:sz w:val="32"/>
          <w:szCs w:val="32"/>
          <w:lang w:val="en-US" w:eastAsia="zh-CN"/>
        </w:rPr>
        <w:t>1</w:t>
      </w:r>
      <w:r>
        <w:rPr>
          <w:rFonts w:hint="eastAsia" w:ascii="仿宋" w:hAnsi="仿宋" w:eastAsia="仿宋" w:cs="宋体"/>
          <w:kern w:val="0"/>
          <w:sz w:val="32"/>
          <w:szCs w:val="32"/>
        </w:rPr>
        <w:t>．</w:t>
      </w:r>
      <w:r>
        <w:rPr>
          <w:rFonts w:hint="eastAsia" w:ascii="仿宋" w:hAnsi="仿宋" w:eastAsia="仿宋" w:cs="Times New Roman"/>
          <w:sz w:val="32"/>
          <w:szCs w:val="32"/>
          <w:lang w:eastAsia="zh-CN"/>
        </w:rPr>
        <w:t>根据中国证监会</w:t>
      </w:r>
      <w:r>
        <w:rPr>
          <w:rFonts w:hint="eastAsia" w:ascii="Times New Roman" w:hAnsi="Times New Roman" w:eastAsia="仿宋" w:cs="Times New Roman"/>
          <w:sz w:val="32"/>
          <w:szCs w:val="32"/>
          <w:lang w:eastAsia="zh-CN"/>
        </w:rPr>
        <w:t>《上市公司监管指引第</w:t>
      </w:r>
      <w:r>
        <w:rPr>
          <w:rFonts w:hint="eastAsia" w:ascii="仿宋" w:hAnsi="仿宋" w:eastAsia="仿宋" w:cs="仿宋"/>
          <w:sz w:val="32"/>
          <w:szCs w:val="32"/>
          <w:lang w:eastAsia="zh-CN"/>
        </w:rPr>
        <w:t>10号——市值管理》</w:t>
      </w:r>
      <w:r>
        <w:rPr>
          <w:rFonts w:hint="eastAsia" w:ascii="仿宋" w:hAnsi="仿宋" w:eastAsia="仿宋" w:cs="Times New Roman"/>
          <w:sz w:val="32"/>
          <w:szCs w:val="32"/>
        </w:rPr>
        <w:t>的规定</w:t>
      </w:r>
      <w:r>
        <w:rPr>
          <w:rFonts w:hint="eastAsia" w:ascii="仿宋" w:hAnsi="仿宋" w:eastAsia="仿宋" w:cs="仿宋"/>
          <w:sz w:val="32"/>
          <w:szCs w:val="32"/>
          <w:lang w:eastAsia="zh-CN"/>
        </w:rPr>
        <w:t>，长期破净公司应当披露上市公司估值提升计划。长期破净是指公司股票连续12个月每个交易日的收盘价，均低于其最近一个会计年度经审计的每股归属于普通股股东的净资产（以下简称每股净资产）。判断是否触及长期破净情形应当采用回溯方式，以公司股票收盘价与当日已披露的最近一个会计年度经审计的每股净资产进行比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w:t>
      </w:r>
      <w:r>
        <w:rPr>
          <w:rFonts w:hint="eastAsia" w:ascii="仿宋" w:hAnsi="仿宋" w:eastAsia="仿宋" w:cs="宋体"/>
          <w:kern w:val="0"/>
          <w:sz w:val="32"/>
          <w:szCs w:val="32"/>
        </w:rPr>
        <w:t>．</w:t>
      </w:r>
      <w:r>
        <w:rPr>
          <w:rFonts w:hint="eastAsia" w:ascii="仿宋" w:hAnsi="仿宋" w:eastAsia="仿宋" w:cs="Times New Roman"/>
          <w:sz w:val="32"/>
          <w:szCs w:val="32"/>
          <w:lang w:val="en-US" w:eastAsia="zh-CN"/>
        </w:rPr>
        <w:t>上市公司应当在每个季度最后一个交易日，确认是否触及前述长期破净情形</w:t>
      </w:r>
      <w:r>
        <w:rPr>
          <w:rStyle w:val="73"/>
          <w:rFonts w:hint="eastAsia" w:ascii="仿宋" w:hAnsi="仿宋" w:eastAsia="仿宋" w:cs="Times New Roman"/>
          <w:sz w:val="32"/>
          <w:szCs w:val="32"/>
          <w:lang w:val="en-US" w:eastAsia="zh-CN"/>
        </w:rPr>
        <w:footnoteReference w:id="0" w:customMarkFollows="1"/>
        <w:t>注</w:t>
      </w:r>
      <w:r>
        <w:rPr>
          <w:rFonts w:hint="eastAsia" w:ascii="仿宋" w:hAnsi="仿宋" w:eastAsia="仿宋" w:cs="Times New Roman"/>
          <w:sz w:val="32"/>
          <w:szCs w:val="32"/>
          <w:lang w:val="en-US" w:eastAsia="zh-CN"/>
        </w:rPr>
        <w:t>。触及相关情形的，应当在每个季度结束之日起2个月内披露估值提升计划。已披露估值提升计划的，在估值提升计划到期前无需再次披露，经董事会评估后需要完善的除外。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Times New Roman"/>
          <w:sz w:val="32"/>
          <w:szCs w:val="32"/>
          <w:lang w:val="en-US" w:eastAsia="zh-CN"/>
        </w:rPr>
      </w:pPr>
    </w:p>
    <w:p>
      <w:pPr>
        <w:snapToGrid w:val="0"/>
        <w:spacing w:line="560" w:lineRule="exact"/>
        <w:jc w:val="both"/>
        <w:rPr>
          <w:rFonts w:ascii="仿宋" w:hAnsi="仿宋" w:eastAsia="仿宋" w:cs="Times New Roman"/>
          <w:b/>
          <w:sz w:val="32"/>
          <w:szCs w:val="32"/>
        </w:rPr>
      </w:pPr>
    </w:p>
    <w:p>
      <w:pPr>
        <w:autoSpaceDE w:val="0"/>
        <w:autoSpaceDN w:val="0"/>
        <w:adjustRightInd w:val="0"/>
        <w:spacing w:line="560" w:lineRule="exact"/>
        <w:jc w:val="center"/>
        <w:rPr>
          <w:rFonts w:ascii="仿宋" w:hAnsi="仿宋" w:eastAsia="仿宋" w:cs="Times New Roman"/>
          <w:sz w:val="32"/>
          <w:szCs w:val="32"/>
        </w:rPr>
      </w:pPr>
      <w:r>
        <w:rPr>
          <w:rFonts w:hint="eastAsia" w:ascii="仿宋" w:hAnsi="仿宋" w:eastAsia="仿宋" w:cs="仿宋"/>
          <w:b/>
          <w:bCs/>
          <w:sz w:val="32"/>
          <w:szCs w:val="32"/>
          <w:lang w:val="en-US" w:eastAsia="zh-CN"/>
        </w:rPr>
        <w:br w:type="page"/>
      </w:r>
      <w:r>
        <w:rPr>
          <w:rFonts w:hint="eastAsia" w:ascii="仿宋" w:hAnsi="仿宋" w:eastAsia="仿宋" w:cs="Times New Roman"/>
          <w:sz w:val="32"/>
          <w:szCs w:val="32"/>
        </w:rPr>
        <w:t>证券代码：        证券简称：        公告编号：</w:t>
      </w:r>
    </w:p>
    <w:p>
      <w:pPr>
        <w:snapToGrid w:val="0"/>
        <w:spacing w:line="56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rPr>
        <w:t xml:space="preserve">  XXXXXX股份有限公司</w:t>
      </w:r>
      <w:r>
        <w:rPr>
          <w:rFonts w:hint="eastAsia" w:ascii="仿宋" w:hAnsi="仿宋" w:eastAsia="仿宋" w:cs="Times New Roman"/>
          <w:sz w:val="32"/>
          <w:szCs w:val="32"/>
          <w:lang w:eastAsia="zh-CN"/>
        </w:rPr>
        <w:t>估值提升计划</w:t>
      </w:r>
    </w:p>
    <w:p>
      <w:pPr>
        <w:rPr>
          <w:rFonts w:hint="eastAsia" w:ascii="仿宋" w:hAnsi="仿宋" w:eastAsia="仿宋" w:cs="仿宋"/>
          <w:b/>
          <w:bCs/>
          <w:sz w:val="32"/>
          <w:szCs w:val="32"/>
          <w:lang w:val="en-US" w:eastAsia="zh-CN"/>
        </w:rPr>
      </w:pPr>
      <w:r>
        <w:rPr>
          <w:rFonts w:hint="eastAsia" w:cs="Times New Roman"/>
        </w:rPr>
        <mc:AlternateContent>
          <mc:Choice Requires="wps">
            <w:drawing>
              <wp:anchor distT="0" distB="0" distL="114300" distR="114300" simplePos="0" relativeHeight="251720704" behindDoc="0" locked="0" layoutInCell="1" allowOverlap="1">
                <wp:simplePos x="0" y="0"/>
                <wp:positionH relativeFrom="margin">
                  <wp:posOffset>-218440</wp:posOffset>
                </wp:positionH>
                <wp:positionV relativeFrom="paragraph">
                  <wp:posOffset>159385</wp:posOffset>
                </wp:positionV>
                <wp:extent cx="5915025" cy="1628775"/>
                <wp:effectExtent l="4445" t="4445" r="5080" b="5080"/>
                <wp:wrapNone/>
                <wp:docPr id="234" name="矩形 234"/>
                <wp:cNvGraphicFramePr/>
                <a:graphic xmlns:a="http://schemas.openxmlformats.org/drawingml/2006/main">
                  <a:graphicData uri="http://schemas.microsoft.com/office/word/2010/wordprocessingShape">
                    <wps:wsp>
                      <wps:cNvSpPr>
                        <a:spLocks noChangeArrowheads="1"/>
                      </wps:cNvSpPr>
                      <wps:spPr bwMode="auto">
                        <a:xfrm>
                          <a:off x="0" y="0"/>
                          <a:ext cx="5915025" cy="1628775"/>
                        </a:xfrm>
                        <a:prstGeom prst="rect">
                          <a:avLst/>
                        </a:prstGeom>
                        <a:solidFill>
                          <a:srgbClr val="FFFFFF"/>
                        </a:solidFill>
                        <a:ln w="9525">
                          <a:solidFill>
                            <a:srgbClr val="000000"/>
                          </a:solidFill>
                          <a:miter lim="800000"/>
                        </a:ln>
                      </wps:spPr>
                      <wps:txbx>
                        <w:txbxContent>
                          <w:p>
                            <w:pPr>
                              <w:spacing w:line="440" w:lineRule="exact"/>
                              <w:ind w:firstLine="572" w:firstLineChars="179"/>
                              <w:rPr>
                                <w:rFonts w:ascii="仿宋" w:hAnsi="仿宋" w:eastAsia="仿宋" w:cs="Times New Roman"/>
                                <w:sz w:val="32"/>
                                <w:szCs w:val="32"/>
                              </w:rPr>
                            </w:pPr>
                            <w:r>
                              <w:rPr>
                                <w:rFonts w:hint="eastAsia" w:ascii="仿宋" w:hAnsi="仿宋" w:eastAsia="仿宋" w:cs="Times New Roman"/>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cs="Times New Roman"/>
                                <w:sz w:val="32"/>
                                <w:szCs w:val="32"/>
                              </w:rPr>
                            </w:pPr>
                            <w:r>
                              <w:rPr>
                                <w:rFonts w:hint="eastAsia" w:ascii="仿宋" w:hAnsi="仿宋" w:eastAsia="仿宋" w:cs="Times New Roman"/>
                                <w:sz w:val="32"/>
                                <w:szCs w:val="32"/>
                              </w:rPr>
                              <w:t>董事XXX因</w:t>
                            </w:r>
                            <w:r>
                              <w:rPr>
                                <w:rFonts w:hint="eastAsia" w:ascii="仿宋" w:hAnsi="仿宋" w:eastAsia="仿宋" w:cs="Times New Roman"/>
                                <w:sz w:val="32"/>
                                <w:szCs w:val="32"/>
                                <w:u w:val="single"/>
                              </w:rPr>
                              <w:t>（具体和明确的理由）</w:t>
                            </w:r>
                            <w:r>
                              <w:rPr>
                                <w:rFonts w:hint="eastAsia" w:ascii="仿宋" w:hAnsi="仿宋" w:eastAsia="仿宋" w:cs="Times New Roman"/>
                                <w:sz w:val="32"/>
                                <w:szCs w:val="32"/>
                              </w:rPr>
                              <w:t>不能保证公告内容真实、准确、完整。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2pt;margin-top:12.55pt;height:128.25pt;width:465.75pt;mso-position-horizontal-relative:margin;z-index:251720704;mso-width-relative:page;mso-height-relative:page;" fillcolor="#FFFFFF" filled="t" stroked="t" coordsize="21600,21600" o:gfxdata="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2mp1NkAAAAKAQAADwAAAAAAAAABACAAAAAiAAAAZHJzL2Rv&#10;d25yZXYueG1sUEsBAhQAFAAAAAgAh07iQOuMyZQ5AgAAfwQAAA4AAAAAAAAAAQAgAAAAKAEAAGRy&#10;cy9lMm9Eb2MueG1sUEsFBgAAAAAGAAYAWQEAANMFAAAAAA==&#10;">
                <v:fill on="t" focussize="0,0"/>
                <v:stroke color="#000000" miterlimit="8" joinstyle="miter"/>
                <v:imagedata o:title=""/>
                <o:lock v:ext="edit" aspectratio="f"/>
                <v:textbox>
                  <w:txbxContent>
                    <w:p>
                      <w:pPr>
                        <w:spacing w:line="440" w:lineRule="exact"/>
                        <w:ind w:firstLine="572" w:firstLineChars="179"/>
                        <w:rPr>
                          <w:rFonts w:ascii="仿宋" w:hAnsi="仿宋" w:eastAsia="仿宋" w:cs="Times New Roman"/>
                          <w:sz w:val="32"/>
                          <w:szCs w:val="32"/>
                        </w:rPr>
                      </w:pPr>
                      <w:r>
                        <w:rPr>
                          <w:rFonts w:hint="eastAsia" w:ascii="仿宋" w:hAnsi="仿宋" w:eastAsia="仿宋" w:cs="Times New Roman"/>
                          <w:sz w:val="32"/>
                          <w:szCs w:val="32"/>
                        </w:rPr>
                        <w:t>本公司及董事会全体成员（或除董事XXX、XXX外的董事会全体成员）保证信息披露的内容真实、准确、完整，没有虚假记载、误导性陈述或重大遗漏。</w:t>
                      </w:r>
                    </w:p>
                    <w:p>
                      <w:pPr>
                        <w:snapToGrid w:val="0"/>
                        <w:spacing w:line="480" w:lineRule="exact"/>
                        <w:ind w:firstLine="540"/>
                        <w:rPr>
                          <w:rFonts w:ascii="仿宋" w:hAnsi="仿宋" w:eastAsia="仿宋" w:cs="Times New Roman"/>
                          <w:sz w:val="32"/>
                          <w:szCs w:val="32"/>
                        </w:rPr>
                      </w:pPr>
                      <w:r>
                        <w:rPr>
                          <w:rFonts w:hint="eastAsia" w:ascii="仿宋" w:hAnsi="仿宋" w:eastAsia="仿宋" w:cs="Times New Roman"/>
                          <w:sz w:val="32"/>
                          <w:szCs w:val="32"/>
                        </w:rPr>
                        <w:t>董事XXX因</w:t>
                      </w:r>
                      <w:r>
                        <w:rPr>
                          <w:rFonts w:hint="eastAsia" w:ascii="仿宋" w:hAnsi="仿宋" w:eastAsia="仿宋" w:cs="Times New Roman"/>
                          <w:sz w:val="32"/>
                          <w:szCs w:val="32"/>
                          <w:u w:val="single"/>
                        </w:rPr>
                        <w:t>（具体和明确的理由）</w:t>
                      </w:r>
                      <w:r>
                        <w:rPr>
                          <w:rFonts w:hint="eastAsia" w:ascii="仿宋" w:hAnsi="仿宋" w:eastAsia="仿宋" w:cs="Times New Roman"/>
                          <w:sz w:val="32"/>
                          <w:szCs w:val="32"/>
                        </w:rPr>
                        <w:t>不能保证公告内容真实、准确、完整。</w:t>
                      </w:r>
                    </w:p>
                  </w:txbxContent>
                </v:textbox>
              </v:rect>
            </w:pict>
          </mc:Fallback>
        </mc:AlternateContent>
      </w: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p>
    <w:p>
      <w:pPr>
        <w:numPr>
          <w:ilvl w:val="0"/>
          <w:numId w:val="0"/>
        </w:numPr>
        <w:spacing w:line="560" w:lineRule="exact"/>
        <w:ind w:left="630"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一、触及情形及审议程序</w:t>
      </w:r>
    </w:p>
    <w:p>
      <w:pPr>
        <w:numPr>
          <w:ilvl w:val="0"/>
          <w:numId w:val="0"/>
        </w:num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说明公司触及长期破净情形的具体情况，包括起止时点、股价变动区间及每股净资产情况等。</w:t>
      </w:r>
    </w:p>
    <w:p>
      <w:pPr>
        <w:numPr>
          <w:ilvl w:val="0"/>
          <w:numId w:val="0"/>
        </w:numPr>
        <w:spacing w:line="56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说明董事会会议的召开、审议和表决情况。</w:t>
      </w:r>
    </w:p>
    <w:p>
      <w:pPr>
        <w:numPr>
          <w:ilvl w:val="0"/>
          <w:numId w:val="0"/>
        </w:numPr>
        <w:spacing w:line="56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二、估值提升计划具体方案</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上市公司应当说明提升上市公司质量和投资价值的具体举措，相关举措应当结合公司自身情况、围绕公司主业展开，明确、具体、可执行，不得使用容易引起歧义或者误导投资者的表述。</w:t>
      </w:r>
      <w:r>
        <w:rPr>
          <w:rFonts w:hint="eastAsia" w:ascii="仿宋" w:hAnsi="仿宋" w:eastAsia="仿宋" w:cs="仿宋"/>
          <w:color w:val="000000"/>
          <w:kern w:val="0"/>
          <w:sz w:val="32"/>
          <w:szCs w:val="32"/>
          <w:highlight w:val="none"/>
          <w:lang w:val="en-US" w:eastAsia="zh-CN" w:bidi="ar"/>
        </w:rPr>
        <w:t>公司披露预测性信息及其他涉及公司未来经营和财务状况等信息的，应当说明假设基础、依据和风险因素等，合理、谨慎、客观，不得出现误导性陈述。</w:t>
      </w:r>
      <w:r>
        <w:rPr>
          <w:rFonts w:hint="eastAsia" w:ascii="仿宋" w:hAnsi="仿宋" w:eastAsia="仿宋" w:cs="仿宋"/>
          <w:b w:val="0"/>
          <w:bCs w:val="0"/>
          <w:sz w:val="32"/>
          <w:szCs w:val="32"/>
          <w:lang w:val="en-US" w:eastAsia="zh-CN"/>
        </w:rPr>
        <w:t>相关举措可以包括：</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营提升。上市公司应当重视经营质量的整体提高，说明提升经营效率和盈利能力的具体措施。公司应当专注主业、稳健经营，采取具体措施积极开拓市场、提升营运能力、强化成本控制、加大研发力度，以新质生产力的培育和运用，推动经营水平和发展质量提升。</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并购重组。上市公司可以围绕科技创新、产业升级布局，通过并购重组加快发展新质生产力，引导更多资源要素向新质生产力方向聚集，优化资产结构和业务布局，提升上市公司核心竞争力和内在价值。在重大事项决策中应当充分考虑投资者利益和回报，坚持稳健经营，避免盲目扩张。</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（3）股权激励和员工持股计划。上市公司可以建立并披露长效激励机制，充分运用股权激励、员工持股计划等工具，合理拟定授予价格、激励对象范围、股票数量和业绩考核条件等。</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现金分红。上市公司可以根据公司发展阶段和经营情况，制定并披露中长期分红规划，明确分红条件、分红频次、分红比例等，提升分红的稳定性、及时性和可预期性。上市公司可以结合业绩情况及未分配利润情况，开展一年多次分红、预分红、春节前分红，增强投资者获得感。</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投资者关系管理和信息披露。上市公司可以制定并披露与投资者沟通交流的计划安排，通过投资者说明会、业绩说明会、路演、投资者调研、证券分析师调研等形式，积极收集、分析市场各方对上市公司投资价值的判断和对上市公司经营的预期，持续加强与投资者的互动交流。上市公司可以制定并披露有关舆情监测管理、重大事项响应的机制安排，可以说明提高公告可读性的具体方式，持续提升信息披露透明度和精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股份回购和股东增持。上市公司可以结合公司股权结构和业务经营需要，明确股份回购的机制安排，如回购触发情形、回购计划、回购主要用途、资金规划等。鼓励上市公司将回购股份依法注销。上市公司大股东、董监高可以</w:t>
      </w:r>
      <w:r>
        <w:rPr>
          <w:rFonts w:hint="eastAsia" w:ascii="仿宋" w:hAnsi="仿宋" w:eastAsia="仿宋" w:cs="仿宋"/>
          <w:b w:val="0"/>
          <w:bCs w:val="0"/>
          <w:sz w:val="32"/>
          <w:szCs w:val="32"/>
          <w:highlight w:val="none"/>
          <w:lang w:val="en-US" w:eastAsia="zh-CN"/>
        </w:rPr>
        <w:t>结合实际情况制定、披露并实施股份增持计划，</w:t>
      </w:r>
      <w:r>
        <w:rPr>
          <w:rFonts w:hint="eastAsia" w:ascii="仿宋" w:hAnsi="仿宋" w:eastAsia="仿宋" w:cs="仿宋"/>
          <w:b w:val="0"/>
          <w:bCs w:val="0"/>
          <w:sz w:val="32"/>
          <w:szCs w:val="32"/>
          <w:lang w:val="en-US" w:eastAsia="zh-CN"/>
        </w:rPr>
        <w:t>或者通过自愿延长股份锁定期、自愿终止减持计划以及承诺不减持股份等方式，提振市场信心。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（7）其他合规措施。上市公司可以结合其实际情况，制定其他与强化市值管理相关的具体举措。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上市公司已披露或者同步披露“质量回报双提升”行动方案的，估值提升计划与“质量回报双提升”行动方案内容应当保持内在统一，不得出现前后矛盾情形。</w:t>
      </w:r>
    </w:p>
    <w:p>
      <w:pPr>
        <w:spacing w:line="560" w:lineRule="exact"/>
        <w:ind w:firstLine="643" w:firstLineChars="200"/>
        <w:rPr>
          <w:rFonts w:hint="default" w:ascii="仿宋" w:hAnsi="仿宋" w:eastAsia="仿宋" w:cs="仿宋"/>
          <w:b/>
          <w:bCs/>
          <w:sz w:val="32"/>
          <w:szCs w:val="32"/>
          <w:highlight w:val="none"/>
          <w:u w:val="none"/>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highlight w:val="none"/>
          <w:lang w:val="en-US" w:eastAsia="zh-CN"/>
        </w:rPr>
        <w:t>、</w:t>
      </w:r>
      <w:r>
        <w:rPr>
          <w:rFonts w:hint="eastAsia" w:ascii="仿宋" w:hAnsi="仿宋" w:eastAsia="仿宋" w:cs="仿宋"/>
          <w:b/>
          <w:bCs/>
          <w:sz w:val="32"/>
          <w:szCs w:val="32"/>
          <w:highlight w:val="none"/>
          <w:u w:val="none"/>
          <w:lang w:val="en-US" w:eastAsia="zh-CN"/>
        </w:rPr>
        <w:t>估值提升计划的后续评估及专项说明（如适用）</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长期破净公司应当至少每年对估值提升计划的实施效果进行评估，评估后需要完善的，将完善后的估值提升计划经董事会审议后披露。</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上市公司触及长期破净情形所处会计年度的日平均市净率低于所在行业平均值的，应当就估值提升计划的执行情况在年度业绩说明会中进行专项说明。行业分类可参考市场公开可获取的相关信息。</w:t>
      </w:r>
    </w:p>
    <w:p>
      <w:pPr>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四、董事会意见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结合公司实际情况等因素，说明</w:t>
      </w:r>
      <w:r>
        <w:rPr>
          <w:rFonts w:hint="eastAsia" w:ascii="仿宋" w:hAnsi="仿宋" w:eastAsia="仿宋" w:cs="Times New Roman"/>
          <w:sz w:val="32"/>
          <w:szCs w:val="32"/>
          <w:lang w:eastAsia="zh-CN"/>
        </w:rPr>
        <w:t>上市公司估值提升计划的合理性、可行性，是否有利于提升上市公司投资价值和增强投资者回报</w:t>
      </w:r>
      <w:r>
        <w:rPr>
          <w:rFonts w:hint="eastAsia" w:ascii="仿宋" w:hAnsi="仿宋" w:eastAsia="仿宋" w:cs="Times New Roman"/>
          <w:sz w:val="32"/>
          <w:szCs w:val="32"/>
        </w:rPr>
        <w:t>。</w:t>
      </w:r>
    </w:p>
    <w:p>
      <w:pPr>
        <w:spacing w:line="56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五、风险提示</w:t>
      </w:r>
    </w:p>
    <w:p>
      <w:pPr>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说明本估值提升计划不代表对公司股价、市值、未来业绩等方面的承诺，计划实施效果情况存在不确定性，并向市场充分提示投资风险。</w:t>
      </w:r>
    </w:p>
    <w:p>
      <w:pPr>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b w:val="0"/>
          <w:bCs w:val="0"/>
          <w:sz w:val="32"/>
          <w:szCs w:val="32"/>
          <w:lang w:val="en-US" w:eastAsia="zh-CN"/>
        </w:rPr>
        <w:t>其他风险提示。</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sz w:val="32"/>
          <w:szCs w:val="32"/>
        </w:rPr>
        <w:t>备查文件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宋体"/>
          <w:kern w:val="0"/>
          <w:sz w:val="32"/>
          <w:szCs w:val="32"/>
        </w:rPr>
        <w:t>．</w:t>
      </w:r>
      <w:r>
        <w:rPr>
          <w:rFonts w:hint="eastAsia" w:ascii="仿宋" w:hAnsi="仿宋" w:eastAsia="仿宋" w:cs="仿宋"/>
          <w:sz w:val="32"/>
          <w:szCs w:val="32"/>
        </w:rPr>
        <w:t>董事会决议</w:t>
      </w:r>
      <w:r>
        <w:rPr>
          <w:rFonts w:hint="eastAsia" w:ascii="仿宋" w:hAnsi="仿宋" w:eastAsia="仿宋" w:cs="仿宋"/>
          <w:sz w:val="32"/>
          <w:szCs w:val="32"/>
          <w:lang w:eastAsia="zh-CN"/>
        </w:rPr>
        <w:t>；</w:t>
      </w:r>
    </w:p>
    <w:p>
      <w:pPr>
        <w:spacing w:line="560" w:lineRule="exact"/>
        <w:ind w:firstLine="640" w:firstLineChars="200"/>
        <w:rPr>
          <w:rFonts w:hint="eastAsia" w:ascii="Times New Roman" w:hAnsi="Times New Roman" w:eastAsia="仿宋" w:cs="Times New Roman"/>
          <w:sz w:val="32"/>
          <w:szCs w:val="32"/>
          <w:lang w:eastAsia="zh-CN"/>
        </w:rPr>
      </w:pPr>
      <w:r>
        <w:rPr>
          <w:rFonts w:hint="eastAsia" w:ascii="仿宋" w:hAnsi="仿宋" w:eastAsia="仿宋" w:cs="仿宋"/>
          <w:sz w:val="32"/>
          <w:szCs w:val="32"/>
          <w:lang w:val="en-US" w:eastAsia="zh-CN"/>
        </w:rPr>
        <w:t>2</w:t>
      </w:r>
      <w:r>
        <w:rPr>
          <w:rFonts w:hint="eastAsia" w:ascii="仿宋" w:hAnsi="仿宋" w:eastAsia="仿宋" w:cs="宋体"/>
          <w:kern w:val="0"/>
          <w:sz w:val="32"/>
          <w:szCs w:val="32"/>
        </w:rPr>
        <w:t>．</w:t>
      </w:r>
      <w:r>
        <w:rPr>
          <w:rFonts w:hint="eastAsia" w:ascii="仿宋" w:hAnsi="仿宋" w:eastAsia="仿宋" w:cs="仿宋"/>
          <w:sz w:val="32"/>
          <w:szCs w:val="32"/>
        </w:rPr>
        <w:t>深交所要求的其他文件。</w:t>
      </w:r>
    </w:p>
    <w:p>
      <w:pPr>
        <w:spacing w:line="560" w:lineRule="exact"/>
        <w:ind w:firstLine="640" w:firstLineChars="200"/>
        <w:rPr>
          <w:rFonts w:ascii="Times New Roman" w:hAnsi="Times New Roman" w:eastAsia="仿宋" w:cs="Times New Roman"/>
          <w:sz w:val="32"/>
          <w:szCs w:val="32"/>
        </w:rPr>
      </w:pPr>
    </w:p>
    <w:p>
      <w:pPr>
        <w:spacing w:line="560" w:lineRule="exact"/>
        <w:ind w:firstLine="4160"/>
        <w:jc w:val="right"/>
        <w:rPr>
          <w:rFonts w:ascii="仿宋" w:hAnsi="仿宋" w:eastAsia="仿宋" w:cs="Times New Roman"/>
          <w:sz w:val="32"/>
          <w:szCs w:val="32"/>
        </w:rPr>
      </w:pPr>
      <w:r>
        <w:rPr>
          <w:rFonts w:hint="eastAsia" w:ascii="仿宋" w:hAnsi="仿宋" w:eastAsia="仿宋" w:cs="Times New Roman"/>
          <w:sz w:val="32"/>
          <w:szCs w:val="32"/>
        </w:rPr>
        <w:t>XXXXXX股份有限公司董事会</w:t>
      </w:r>
    </w:p>
    <w:p>
      <w:pPr>
        <w:ind w:right="360" w:firstLine="4160"/>
        <w:jc w:val="right"/>
        <w:rPr>
          <w:rFonts w:cs="Times New Roman"/>
          <w:sz w:val="32"/>
          <w:szCs w:val="32"/>
        </w:rPr>
      </w:pPr>
      <w:r>
        <w:rPr>
          <w:rFonts w:hint="eastAsia" w:ascii="仿宋" w:hAnsi="仿宋" w:eastAsia="仿宋" w:cs="Times New Roman"/>
          <w:sz w:val="32"/>
          <w:szCs w:val="32"/>
        </w:rPr>
        <w:t>XXXX年XX月XX日</w:t>
      </w:r>
    </w:p>
    <w:p>
      <w:pPr>
        <w:pStyle w:val="2"/>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Helvetica-Narrow">
    <w:altName w:val="Arial Narrow"/>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2010601030101010101"/>
    <w:charset w:val="86"/>
    <w:family w:val="auto"/>
    <w:pitch w:val="default"/>
    <w:sig w:usb0="00000000" w:usb1="00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mc:AlternateContent>
        <mc:Choice Requires="wps">
          <w:drawing>
            <wp:anchor distT="0" distB="0" distL="114300" distR="114300" simplePos="0" relativeHeight="251717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numPr>
        <w:ilvl w:val="0"/>
        <w:numId w:val="2"/>
      </w:numPr>
      <w:rPr>
        <w:rFonts w:asciiTheme="minorEastAsia" w:hAnsiTheme="minorEastAsia" w:eastAsiaTheme="minorEastAsia"/>
        <w:sz w:val="28"/>
        <w:szCs w:val="28"/>
        <w:lang w:val="zh-CN"/>
      </w:rPr>
    </w:pPr>
    <w:r>
      <mc:AlternateContent>
        <mc:Choice Requires="wps">
          <w:drawing>
            <wp:anchor distT="0" distB="0" distL="114300" distR="114300" simplePos="0" relativeHeight="2517155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4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firstLine="360"/>
    </w:pPr>
    <w:r>
      <mc:AlternateContent>
        <mc:Choice Requires="wps">
          <w:drawing>
            <wp:anchor distT="0" distB="0" distL="114300" distR="114300" simplePos="0" relativeHeight="251716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 </w:t>
                          </w:r>
                          <w:r>
                            <w:fldChar w:fldCharType="begin"/>
                          </w:r>
                          <w:r>
                            <w:instrText xml:space="preserve"> PAGE  \* MERGEFORMAT </w:instrText>
                          </w:r>
                          <w:r>
                            <w:fldChar w:fldCharType="separate"/>
                          </w:r>
                          <w:r>
                            <w:t>252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 </w:t>
                    </w:r>
                    <w:r>
                      <w:fldChar w:fldCharType="begin"/>
                    </w:r>
                    <w:r>
                      <w:instrText xml:space="preserve"> PAGE  \* MERGEFORMAT </w:instrText>
                    </w:r>
                    <w:r>
                      <w:fldChar w:fldCharType="separate"/>
                    </w:r>
                    <w:r>
                      <w:t>252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jc w:val="both"/>
        <w:rPr>
          <w:rFonts w:hint="default"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注：上市公司应当在每个季度最后一个交易日，评估是否属于长期破净公司。以2024年12月31日为例。如某公司2024年4月30日披露2023年年度报告，该公司2024年1月1日至4月30日前每个交易日股票收盘价均低于2022年年度经审计的每股净资产，2024年4月30日至12月31日期间每个交易日股票收盘价均低于2023年年度经审计的每股净资产，则属于长期破净公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8A149"/>
    <w:multiLevelType w:val="singleLevel"/>
    <w:tmpl w:val="0C68A149"/>
    <w:lvl w:ilvl="0" w:tentative="0">
      <w:start w:val="2"/>
      <w:numFmt w:val="chineseCounting"/>
      <w:suff w:val="nothing"/>
      <w:lvlText w:val="（%1）"/>
      <w:lvlJc w:val="left"/>
      <w:rPr>
        <w:rFonts w:hint="eastAsia"/>
      </w:rPr>
    </w:lvl>
  </w:abstractNum>
  <w:abstractNum w:abstractNumId="1">
    <w:nsid w:val="144964F8"/>
    <w:multiLevelType w:val="multilevel"/>
    <w:tmpl w:val="144964F8"/>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64706C3"/>
    <w:multiLevelType w:val="multilevel"/>
    <w:tmpl w:val="364706C3"/>
    <w:lvl w:ilvl="0" w:tentative="0">
      <w:start w:val="1"/>
      <w:numFmt w:val="decimal"/>
      <w:lvlText w:val="%1."/>
      <w:lvlJc w:val="left"/>
      <w:pPr>
        <w:ind w:left="1060" w:hanging="420"/>
      </w:pPr>
      <w:rPr>
        <w:rFonts w:ascii="仿宋" w:hAnsi="仿宋" w:eastAsia="仿宋"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
    <w:nsid w:val="61705798"/>
    <w:multiLevelType w:val="multilevel"/>
    <w:tmpl w:val="61705798"/>
    <w:lvl w:ilvl="0" w:tentative="0">
      <w:start w:val="1"/>
      <w:numFmt w:val="japaneseCounting"/>
      <w:lvlText w:val="%1、"/>
      <w:lvlJc w:val="left"/>
      <w:pPr>
        <w:tabs>
          <w:tab w:val="left" w:pos="720"/>
        </w:tabs>
        <w:ind w:left="720" w:hanging="720"/>
      </w:pPr>
    </w:lvl>
    <w:lvl w:ilvl="1" w:tentative="0">
      <w:start w:val="1"/>
      <w:numFmt w:val="decimal"/>
      <w:pStyle w:val="164"/>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C8503E0"/>
    <w:multiLevelType w:val="multilevel"/>
    <w:tmpl w:val="6C8503E0"/>
    <w:lvl w:ilvl="0" w:tentative="0">
      <w:start w:val="1"/>
      <w:numFmt w:val="decimalEnclosedCircle"/>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hideSpellingErrors/>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D7"/>
    <w:rsid w:val="0000071C"/>
    <w:rsid w:val="0000417D"/>
    <w:rsid w:val="00006D35"/>
    <w:rsid w:val="00010BE7"/>
    <w:rsid w:val="0001415F"/>
    <w:rsid w:val="00014A37"/>
    <w:rsid w:val="00015552"/>
    <w:rsid w:val="00015579"/>
    <w:rsid w:val="00015CFB"/>
    <w:rsid w:val="0002064E"/>
    <w:rsid w:val="0002134C"/>
    <w:rsid w:val="000233F3"/>
    <w:rsid w:val="00024AB2"/>
    <w:rsid w:val="00024B60"/>
    <w:rsid w:val="0002688F"/>
    <w:rsid w:val="00026E85"/>
    <w:rsid w:val="000346FE"/>
    <w:rsid w:val="00034E8F"/>
    <w:rsid w:val="00037907"/>
    <w:rsid w:val="000436C6"/>
    <w:rsid w:val="00043728"/>
    <w:rsid w:val="00044E10"/>
    <w:rsid w:val="00045955"/>
    <w:rsid w:val="00046999"/>
    <w:rsid w:val="00050334"/>
    <w:rsid w:val="0005073C"/>
    <w:rsid w:val="000521DD"/>
    <w:rsid w:val="00052B43"/>
    <w:rsid w:val="0005329F"/>
    <w:rsid w:val="00056081"/>
    <w:rsid w:val="00061C23"/>
    <w:rsid w:val="000625BA"/>
    <w:rsid w:val="00072048"/>
    <w:rsid w:val="00072FA8"/>
    <w:rsid w:val="000741FC"/>
    <w:rsid w:val="00080476"/>
    <w:rsid w:val="00083E03"/>
    <w:rsid w:val="00084A64"/>
    <w:rsid w:val="00085179"/>
    <w:rsid w:val="00085380"/>
    <w:rsid w:val="00085766"/>
    <w:rsid w:val="00085F00"/>
    <w:rsid w:val="00086DF5"/>
    <w:rsid w:val="000905EB"/>
    <w:rsid w:val="000913C3"/>
    <w:rsid w:val="00095C67"/>
    <w:rsid w:val="00095D0F"/>
    <w:rsid w:val="00095D60"/>
    <w:rsid w:val="00097A3A"/>
    <w:rsid w:val="000A2DD5"/>
    <w:rsid w:val="000A3078"/>
    <w:rsid w:val="000A34E6"/>
    <w:rsid w:val="000A4442"/>
    <w:rsid w:val="000A5881"/>
    <w:rsid w:val="000A588E"/>
    <w:rsid w:val="000B0ED7"/>
    <w:rsid w:val="000B273E"/>
    <w:rsid w:val="000B3C10"/>
    <w:rsid w:val="000B469E"/>
    <w:rsid w:val="000B7F05"/>
    <w:rsid w:val="000C18B4"/>
    <w:rsid w:val="000C3B3B"/>
    <w:rsid w:val="000C44E4"/>
    <w:rsid w:val="000C4683"/>
    <w:rsid w:val="000C6305"/>
    <w:rsid w:val="000C6F8C"/>
    <w:rsid w:val="000D1AEE"/>
    <w:rsid w:val="000D4076"/>
    <w:rsid w:val="000D430E"/>
    <w:rsid w:val="000D4B24"/>
    <w:rsid w:val="000D6709"/>
    <w:rsid w:val="000E0DEB"/>
    <w:rsid w:val="000E3B63"/>
    <w:rsid w:val="000E5889"/>
    <w:rsid w:val="000E6594"/>
    <w:rsid w:val="000F1C13"/>
    <w:rsid w:val="000F1E7F"/>
    <w:rsid w:val="001103EB"/>
    <w:rsid w:val="001144BA"/>
    <w:rsid w:val="00114E36"/>
    <w:rsid w:val="00117604"/>
    <w:rsid w:val="00120AB9"/>
    <w:rsid w:val="00127D5B"/>
    <w:rsid w:val="00132AEA"/>
    <w:rsid w:val="00134E20"/>
    <w:rsid w:val="001368B5"/>
    <w:rsid w:val="00141358"/>
    <w:rsid w:val="00143767"/>
    <w:rsid w:val="001459BC"/>
    <w:rsid w:val="001465A4"/>
    <w:rsid w:val="00147AFF"/>
    <w:rsid w:val="00150BDD"/>
    <w:rsid w:val="001603C0"/>
    <w:rsid w:val="00165F9B"/>
    <w:rsid w:val="00167B4F"/>
    <w:rsid w:val="00167CCB"/>
    <w:rsid w:val="00170C06"/>
    <w:rsid w:val="0017417E"/>
    <w:rsid w:val="00174EFA"/>
    <w:rsid w:val="0017553A"/>
    <w:rsid w:val="0017587F"/>
    <w:rsid w:val="00182971"/>
    <w:rsid w:val="00185DF2"/>
    <w:rsid w:val="001920BA"/>
    <w:rsid w:val="001953C6"/>
    <w:rsid w:val="001A14E7"/>
    <w:rsid w:val="001A7DDA"/>
    <w:rsid w:val="001B174E"/>
    <w:rsid w:val="001B2262"/>
    <w:rsid w:val="001B2B0F"/>
    <w:rsid w:val="001B3A69"/>
    <w:rsid w:val="001C293B"/>
    <w:rsid w:val="001C4967"/>
    <w:rsid w:val="001C691E"/>
    <w:rsid w:val="001D316F"/>
    <w:rsid w:val="001D41A2"/>
    <w:rsid w:val="001D4CEC"/>
    <w:rsid w:val="001D63C4"/>
    <w:rsid w:val="001D6CFA"/>
    <w:rsid w:val="001E0398"/>
    <w:rsid w:val="001E2118"/>
    <w:rsid w:val="001E2A69"/>
    <w:rsid w:val="001E2F05"/>
    <w:rsid w:val="001E6CF4"/>
    <w:rsid w:val="001E6D8E"/>
    <w:rsid w:val="001F1912"/>
    <w:rsid w:val="001F3320"/>
    <w:rsid w:val="001F7049"/>
    <w:rsid w:val="001F7D99"/>
    <w:rsid w:val="002001AE"/>
    <w:rsid w:val="00203791"/>
    <w:rsid w:val="00203ECB"/>
    <w:rsid w:val="0020630C"/>
    <w:rsid w:val="00207DA4"/>
    <w:rsid w:val="0021101E"/>
    <w:rsid w:val="00211CF0"/>
    <w:rsid w:val="00213216"/>
    <w:rsid w:val="00216B35"/>
    <w:rsid w:val="00217DC6"/>
    <w:rsid w:val="00220161"/>
    <w:rsid w:val="002262A7"/>
    <w:rsid w:val="0023537D"/>
    <w:rsid w:val="00237A89"/>
    <w:rsid w:val="00242184"/>
    <w:rsid w:val="00242BD1"/>
    <w:rsid w:val="002452BF"/>
    <w:rsid w:val="002464E4"/>
    <w:rsid w:val="0025385D"/>
    <w:rsid w:val="002538A8"/>
    <w:rsid w:val="00253FE3"/>
    <w:rsid w:val="002563EE"/>
    <w:rsid w:val="00256ADB"/>
    <w:rsid w:val="002624A9"/>
    <w:rsid w:val="00265344"/>
    <w:rsid w:val="00274338"/>
    <w:rsid w:val="002744CB"/>
    <w:rsid w:val="00274E97"/>
    <w:rsid w:val="00275800"/>
    <w:rsid w:val="00277934"/>
    <w:rsid w:val="002804FC"/>
    <w:rsid w:val="00280D95"/>
    <w:rsid w:val="00287251"/>
    <w:rsid w:val="00287AC8"/>
    <w:rsid w:val="00290178"/>
    <w:rsid w:val="00290523"/>
    <w:rsid w:val="00290833"/>
    <w:rsid w:val="0029094D"/>
    <w:rsid w:val="002911FB"/>
    <w:rsid w:val="002912CC"/>
    <w:rsid w:val="00291706"/>
    <w:rsid w:val="00292103"/>
    <w:rsid w:val="00294277"/>
    <w:rsid w:val="002960F2"/>
    <w:rsid w:val="002A10F9"/>
    <w:rsid w:val="002A2CB2"/>
    <w:rsid w:val="002A3B82"/>
    <w:rsid w:val="002A3E8D"/>
    <w:rsid w:val="002B0E33"/>
    <w:rsid w:val="002B1463"/>
    <w:rsid w:val="002B14E0"/>
    <w:rsid w:val="002B29EF"/>
    <w:rsid w:val="002B59AA"/>
    <w:rsid w:val="002B7092"/>
    <w:rsid w:val="002C0D25"/>
    <w:rsid w:val="002C0EDE"/>
    <w:rsid w:val="002C2882"/>
    <w:rsid w:val="002C3179"/>
    <w:rsid w:val="002D24D2"/>
    <w:rsid w:val="002D41F3"/>
    <w:rsid w:val="002E00E5"/>
    <w:rsid w:val="002E0D12"/>
    <w:rsid w:val="002E117C"/>
    <w:rsid w:val="002E6E6D"/>
    <w:rsid w:val="002E71F8"/>
    <w:rsid w:val="002F1F07"/>
    <w:rsid w:val="002F385E"/>
    <w:rsid w:val="002F54C7"/>
    <w:rsid w:val="002F5562"/>
    <w:rsid w:val="002F6294"/>
    <w:rsid w:val="00300A80"/>
    <w:rsid w:val="00300C71"/>
    <w:rsid w:val="0030217D"/>
    <w:rsid w:val="00302231"/>
    <w:rsid w:val="00305B18"/>
    <w:rsid w:val="00307BD2"/>
    <w:rsid w:val="003140C1"/>
    <w:rsid w:val="00315D84"/>
    <w:rsid w:val="003175D0"/>
    <w:rsid w:val="0032414D"/>
    <w:rsid w:val="00331ACF"/>
    <w:rsid w:val="00331B97"/>
    <w:rsid w:val="00332FAC"/>
    <w:rsid w:val="00333227"/>
    <w:rsid w:val="00340464"/>
    <w:rsid w:val="00340B18"/>
    <w:rsid w:val="0034155B"/>
    <w:rsid w:val="0034171A"/>
    <w:rsid w:val="00344677"/>
    <w:rsid w:val="00347162"/>
    <w:rsid w:val="003475E3"/>
    <w:rsid w:val="00350A2E"/>
    <w:rsid w:val="00350A7D"/>
    <w:rsid w:val="003570E6"/>
    <w:rsid w:val="003576F5"/>
    <w:rsid w:val="003608B3"/>
    <w:rsid w:val="00363366"/>
    <w:rsid w:val="00365139"/>
    <w:rsid w:val="0036562A"/>
    <w:rsid w:val="00370D79"/>
    <w:rsid w:val="00372641"/>
    <w:rsid w:val="00372F76"/>
    <w:rsid w:val="003744DB"/>
    <w:rsid w:val="00375883"/>
    <w:rsid w:val="00375BEF"/>
    <w:rsid w:val="00376CF0"/>
    <w:rsid w:val="00377687"/>
    <w:rsid w:val="00380E52"/>
    <w:rsid w:val="0038104D"/>
    <w:rsid w:val="00385337"/>
    <w:rsid w:val="00385EFC"/>
    <w:rsid w:val="00390BC0"/>
    <w:rsid w:val="00392298"/>
    <w:rsid w:val="003974FF"/>
    <w:rsid w:val="003A0B1A"/>
    <w:rsid w:val="003A3AE7"/>
    <w:rsid w:val="003A4218"/>
    <w:rsid w:val="003A619B"/>
    <w:rsid w:val="003B03B8"/>
    <w:rsid w:val="003C2D3F"/>
    <w:rsid w:val="003C52D3"/>
    <w:rsid w:val="003C5CFC"/>
    <w:rsid w:val="003D3403"/>
    <w:rsid w:val="003D55C0"/>
    <w:rsid w:val="003D56C2"/>
    <w:rsid w:val="003E065D"/>
    <w:rsid w:val="003E2B01"/>
    <w:rsid w:val="003E62B7"/>
    <w:rsid w:val="003F1975"/>
    <w:rsid w:val="003F3394"/>
    <w:rsid w:val="003F4A7B"/>
    <w:rsid w:val="00401943"/>
    <w:rsid w:val="00402212"/>
    <w:rsid w:val="00404BE4"/>
    <w:rsid w:val="00407DCB"/>
    <w:rsid w:val="00411BE2"/>
    <w:rsid w:val="0041619F"/>
    <w:rsid w:val="004201EF"/>
    <w:rsid w:val="004235A8"/>
    <w:rsid w:val="004236EE"/>
    <w:rsid w:val="00425505"/>
    <w:rsid w:val="00426726"/>
    <w:rsid w:val="00427510"/>
    <w:rsid w:val="00431088"/>
    <w:rsid w:val="004324DF"/>
    <w:rsid w:val="0043452A"/>
    <w:rsid w:val="00443337"/>
    <w:rsid w:val="004445F4"/>
    <w:rsid w:val="0044483A"/>
    <w:rsid w:val="00447615"/>
    <w:rsid w:val="00447C48"/>
    <w:rsid w:val="00451CAA"/>
    <w:rsid w:val="00452C3E"/>
    <w:rsid w:val="004542F5"/>
    <w:rsid w:val="004556B3"/>
    <w:rsid w:val="00457F1C"/>
    <w:rsid w:val="00460C9B"/>
    <w:rsid w:val="00462917"/>
    <w:rsid w:val="004658EA"/>
    <w:rsid w:val="00466F55"/>
    <w:rsid w:val="004802F3"/>
    <w:rsid w:val="00480534"/>
    <w:rsid w:val="004805D1"/>
    <w:rsid w:val="004806E4"/>
    <w:rsid w:val="004818A6"/>
    <w:rsid w:val="00485C18"/>
    <w:rsid w:val="004868F6"/>
    <w:rsid w:val="0048713D"/>
    <w:rsid w:val="0049589A"/>
    <w:rsid w:val="00496554"/>
    <w:rsid w:val="00496773"/>
    <w:rsid w:val="004A0E0A"/>
    <w:rsid w:val="004A195E"/>
    <w:rsid w:val="004A3867"/>
    <w:rsid w:val="004A41B6"/>
    <w:rsid w:val="004A51DF"/>
    <w:rsid w:val="004B0873"/>
    <w:rsid w:val="004B1BE7"/>
    <w:rsid w:val="004B44F2"/>
    <w:rsid w:val="004B7988"/>
    <w:rsid w:val="004B7AFB"/>
    <w:rsid w:val="004C0117"/>
    <w:rsid w:val="004C28F5"/>
    <w:rsid w:val="004C5037"/>
    <w:rsid w:val="004D1061"/>
    <w:rsid w:val="004D1A2B"/>
    <w:rsid w:val="004E4E78"/>
    <w:rsid w:val="004E5791"/>
    <w:rsid w:val="004F0661"/>
    <w:rsid w:val="004F1B87"/>
    <w:rsid w:val="004F293C"/>
    <w:rsid w:val="004F62D5"/>
    <w:rsid w:val="00501DD4"/>
    <w:rsid w:val="00504F27"/>
    <w:rsid w:val="00505025"/>
    <w:rsid w:val="00512B50"/>
    <w:rsid w:val="0051394D"/>
    <w:rsid w:val="00516846"/>
    <w:rsid w:val="00517231"/>
    <w:rsid w:val="00517EB7"/>
    <w:rsid w:val="00525908"/>
    <w:rsid w:val="00526F9C"/>
    <w:rsid w:val="0053210B"/>
    <w:rsid w:val="00532246"/>
    <w:rsid w:val="00541BE3"/>
    <w:rsid w:val="00542945"/>
    <w:rsid w:val="00545111"/>
    <w:rsid w:val="00547227"/>
    <w:rsid w:val="00555BD4"/>
    <w:rsid w:val="00557B88"/>
    <w:rsid w:val="00561F91"/>
    <w:rsid w:val="00562035"/>
    <w:rsid w:val="005647CA"/>
    <w:rsid w:val="00573E11"/>
    <w:rsid w:val="00577D9C"/>
    <w:rsid w:val="0058212C"/>
    <w:rsid w:val="005907BC"/>
    <w:rsid w:val="00590B64"/>
    <w:rsid w:val="00592094"/>
    <w:rsid w:val="0059428D"/>
    <w:rsid w:val="00597594"/>
    <w:rsid w:val="005A00AE"/>
    <w:rsid w:val="005A06C6"/>
    <w:rsid w:val="005A0FD1"/>
    <w:rsid w:val="005A13D5"/>
    <w:rsid w:val="005B335E"/>
    <w:rsid w:val="005B3D97"/>
    <w:rsid w:val="005C12A1"/>
    <w:rsid w:val="005C297E"/>
    <w:rsid w:val="005C3A36"/>
    <w:rsid w:val="005C5F94"/>
    <w:rsid w:val="005C6009"/>
    <w:rsid w:val="005C7E73"/>
    <w:rsid w:val="005D07D3"/>
    <w:rsid w:val="005D27A1"/>
    <w:rsid w:val="005D772B"/>
    <w:rsid w:val="005E0F02"/>
    <w:rsid w:val="005E0FBB"/>
    <w:rsid w:val="005E15C3"/>
    <w:rsid w:val="005E3E30"/>
    <w:rsid w:val="005E4363"/>
    <w:rsid w:val="005E5791"/>
    <w:rsid w:val="005E5E6A"/>
    <w:rsid w:val="005F43C0"/>
    <w:rsid w:val="00601A17"/>
    <w:rsid w:val="00603B76"/>
    <w:rsid w:val="006100C3"/>
    <w:rsid w:val="006232CF"/>
    <w:rsid w:val="0062481B"/>
    <w:rsid w:val="00625B2F"/>
    <w:rsid w:val="00626E97"/>
    <w:rsid w:val="00627629"/>
    <w:rsid w:val="00627B5D"/>
    <w:rsid w:val="006326C7"/>
    <w:rsid w:val="006338E9"/>
    <w:rsid w:val="00636528"/>
    <w:rsid w:val="0064126B"/>
    <w:rsid w:val="0064146A"/>
    <w:rsid w:val="006419F0"/>
    <w:rsid w:val="0064342D"/>
    <w:rsid w:val="00643B02"/>
    <w:rsid w:val="006443B6"/>
    <w:rsid w:val="00645516"/>
    <w:rsid w:val="0064638D"/>
    <w:rsid w:val="00660A63"/>
    <w:rsid w:val="0066202E"/>
    <w:rsid w:val="0066209F"/>
    <w:rsid w:val="00663F73"/>
    <w:rsid w:val="00664923"/>
    <w:rsid w:val="006650CD"/>
    <w:rsid w:val="00672B12"/>
    <w:rsid w:val="00673A30"/>
    <w:rsid w:val="00675081"/>
    <w:rsid w:val="00686765"/>
    <w:rsid w:val="006906AB"/>
    <w:rsid w:val="00696CD1"/>
    <w:rsid w:val="006A113B"/>
    <w:rsid w:val="006A19D0"/>
    <w:rsid w:val="006A2306"/>
    <w:rsid w:val="006A233B"/>
    <w:rsid w:val="006A31ED"/>
    <w:rsid w:val="006B0BEC"/>
    <w:rsid w:val="006B0F68"/>
    <w:rsid w:val="006B20DA"/>
    <w:rsid w:val="006B2F3A"/>
    <w:rsid w:val="006B4013"/>
    <w:rsid w:val="006B44E8"/>
    <w:rsid w:val="006B4B5C"/>
    <w:rsid w:val="006C2059"/>
    <w:rsid w:val="006C53EB"/>
    <w:rsid w:val="006C6AFE"/>
    <w:rsid w:val="006D0C66"/>
    <w:rsid w:val="006D0C83"/>
    <w:rsid w:val="006D159E"/>
    <w:rsid w:val="006D300B"/>
    <w:rsid w:val="006D5F67"/>
    <w:rsid w:val="006E087A"/>
    <w:rsid w:val="006E3013"/>
    <w:rsid w:val="006E36BD"/>
    <w:rsid w:val="006E3748"/>
    <w:rsid w:val="006E48B5"/>
    <w:rsid w:val="006E4EF5"/>
    <w:rsid w:val="006E557C"/>
    <w:rsid w:val="006E6AB0"/>
    <w:rsid w:val="006E7DFF"/>
    <w:rsid w:val="006F0ABC"/>
    <w:rsid w:val="006F0C20"/>
    <w:rsid w:val="00701FEC"/>
    <w:rsid w:val="00704EB6"/>
    <w:rsid w:val="00705363"/>
    <w:rsid w:val="00707B73"/>
    <w:rsid w:val="0072118B"/>
    <w:rsid w:val="00724E2C"/>
    <w:rsid w:val="007266FB"/>
    <w:rsid w:val="0073194A"/>
    <w:rsid w:val="00735CB1"/>
    <w:rsid w:val="00737420"/>
    <w:rsid w:val="00737CA9"/>
    <w:rsid w:val="007406CC"/>
    <w:rsid w:val="007455EC"/>
    <w:rsid w:val="00746817"/>
    <w:rsid w:val="0075438B"/>
    <w:rsid w:val="0075688F"/>
    <w:rsid w:val="00762DB4"/>
    <w:rsid w:val="007670CD"/>
    <w:rsid w:val="00767D2A"/>
    <w:rsid w:val="007735FE"/>
    <w:rsid w:val="0077566F"/>
    <w:rsid w:val="00776FB4"/>
    <w:rsid w:val="007822B4"/>
    <w:rsid w:val="00787A66"/>
    <w:rsid w:val="00791716"/>
    <w:rsid w:val="00794BAC"/>
    <w:rsid w:val="007C629D"/>
    <w:rsid w:val="007C720F"/>
    <w:rsid w:val="007C738F"/>
    <w:rsid w:val="007C798A"/>
    <w:rsid w:val="007D1F3C"/>
    <w:rsid w:val="007D2673"/>
    <w:rsid w:val="007D32D5"/>
    <w:rsid w:val="007D3E8F"/>
    <w:rsid w:val="007E3601"/>
    <w:rsid w:val="007E380B"/>
    <w:rsid w:val="007E3B32"/>
    <w:rsid w:val="007E747B"/>
    <w:rsid w:val="007F289F"/>
    <w:rsid w:val="007F30E1"/>
    <w:rsid w:val="007F3E5F"/>
    <w:rsid w:val="00800E30"/>
    <w:rsid w:val="008010D9"/>
    <w:rsid w:val="008011D0"/>
    <w:rsid w:val="00803CD1"/>
    <w:rsid w:val="008068D5"/>
    <w:rsid w:val="00807BE3"/>
    <w:rsid w:val="00814F37"/>
    <w:rsid w:val="008156B3"/>
    <w:rsid w:val="00816495"/>
    <w:rsid w:val="0081676E"/>
    <w:rsid w:val="0082008F"/>
    <w:rsid w:val="008203C9"/>
    <w:rsid w:val="0082566B"/>
    <w:rsid w:val="00826686"/>
    <w:rsid w:val="00833D64"/>
    <w:rsid w:val="00833FCD"/>
    <w:rsid w:val="008348EB"/>
    <w:rsid w:val="008420D6"/>
    <w:rsid w:val="008436C5"/>
    <w:rsid w:val="00845D49"/>
    <w:rsid w:val="00850033"/>
    <w:rsid w:val="00857055"/>
    <w:rsid w:val="00857759"/>
    <w:rsid w:val="00857E36"/>
    <w:rsid w:val="00860AA9"/>
    <w:rsid w:val="00863744"/>
    <w:rsid w:val="00867089"/>
    <w:rsid w:val="00870803"/>
    <w:rsid w:val="00871F7A"/>
    <w:rsid w:val="00876AEE"/>
    <w:rsid w:val="00886218"/>
    <w:rsid w:val="008874CA"/>
    <w:rsid w:val="00893ACA"/>
    <w:rsid w:val="00894464"/>
    <w:rsid w:val="008A0CFF"/>
    <w:rsid w:val="008A2235"/>
    <w:rsid w:val="008A54DB"/>
    <w:rsid w:val="008A5684"/>
    <w:rsid w:val="008A67D4"/>
    <w:rsid w:val="008A7483"/>
    <w:rsid w:val="008B106A"/>
    <w:rsid w:val="008B3084"/>
    <w:rsid w:val="008B6A12"/>
    <w:rsid w:val="008C1D2E"/>
    <w:rsid w:val="008D1043"/>
    <w:rsid w:val="008E085B"/>
    <w:rsid w:val="008E2AF5"/>
    <w:rsid w:val="008E596C"/>
    <w:rsid w:val="008E62FE"/>
    <w:rsid w:val="008E6F91"/>
    <w:rsid w:val="008E7357"/>
    <w:rsid w:val="008F1D3E"/>
    <w:rsid w:val="008F3235"/>
    <w:rsid w:val="008F3720"/>
    <w:rsid w:val="008F4254"/>
    <w:rsid w:val="008F49C4"/>
    <w:rsid w:val="008F6164"/>
    <w:rsid w:val="00901C40"/>
    <w:rsid w:val="009025C5"/>
    <w:rsid w:val="00903D55"/>
    <w:rsid w:val="009053AB"/>
    <w:rsid w:val="00911A96"/>
    <w:rsid w:val="009136BF"/>
    <w:rsid w:val="009144DD"/>
    <w:rsid w:val="0091490E"/>
    <w:rsid w:val="00917976"/>
    <w:rsid w:val="00921515"/>
    <w:rsid w:val="00922CF5"/>
    <w:rsid w:val="009263CE"/>
    <w:rsid w:val="009414BD"/>
    <w:rsid w:val="009434EE"/>
    <w:rsid w:val="00944207"/>
    <w:rsid w:val="00944C13"/>
    <w:rsid w:val="00945065"/>
    <w:rsid w:val="00947514"/>
    <w:rsid w:val="009510E6"/>
    <w:rsid w:val="00952D20"/>
    <w:rsid w:val="00963996"/>
    <w:rsid w:val="0096627D"/>
    <w:rsid w:val="00972A47"/>
    <w:rsid w:val="009739FD"/>
    <w:rsid w:val="00977FFE"/>
    <w:rsid w:val="0098417B"/>
    <w:rsid w:val="00987283"/>
    <w:rsid w:val="00996C01"/>
    <w:rsid w:val="009A0D64"/>
    <w:rsid w:val="009A1A3B"/>
    <w:rsid w:val="009A3BC0"/>
    <w:rsid w:val="009B54CD"/>
    <w:rsid w:val="009B6457"/>
    <w:rsid w:val="009C0EFD"/>
    <w:rsid w:val="009C46CC"/>
    <w:rsid w:val="009C6A9F"/>
    <w:rsid w:val="009C7580"/>
    <w:rsid w:val="009D10F7"/>
    <w:rsid w:val="009D1AA7"/>
    <w:rsid w:val="009D492E"/>
    <w:rsid w:val="009D59EE"/>
    <w:rsid w:val="009E3AE8"/>
    <w:rsid w:val="009E5D7C"/>
    <w:rsid w:val="009E78E2"/>
    <w:rsid w:val="009F199B"/>
    <w:rsid w:val="009F34ED"/>
    <w:rsid w:val="009F6296"/>
    <w:rsid w:val="00A00557"/>
    <w:rsid w:val="00A00E55"/>
    <w:rsid w:val="00A02605"/>
    <w:rsid w:val="00A0317A"/>
    <w:rsid w:val="00A10091"/>
    <w:rsid w:val="00A16680"/>
    <w:rsid w:val="00A26D4D"/>
    <w:rsid w:val="00A2767D"/>
    <w:rsid w:val="00A330F0"/>
    <w:rsid w:val="00A36E41"/>
    <w:rsid w:val="00A434BC"/>
    <w:rsid w:val="00A44E1A"/>
    <w:rsid w:val="00A479A8"/>
    <w:rsid w:val="00A53A69"/>
    <w:rsid w:val="00A55E1A"/>
    <w:rsid w:val="00A56566"/>
    <w:rsid w:val="00A6282F"/>
    <w:rsid w:val="00A632D7"/>
    <w:rsid w:val="00A65FA3"/>
    <w:rsid w:val="00A70529"/>
    <w:rsid w:val="00A736E4"/>
    <w:rsid w:val="00A81593"/>
    <w:rsid w:val="00A83C3C"/>
    <w:rsid w:val="00A83FB3"/>
    <w:rsid w:val="00A86AA1"/>
    <w:rsid w:val="00A95386"/>
    <w:rsid w:val="00A96DBB"/>
    <w:rsid w:val="00AA2B11"/>
    <w:rsid w:val="00AA4931"/>
    <w:rsid w:val="00AB0BF2"/>
    <w:rsid w:val="00AC10BF"/>
    <w:rsid w:val="00AC4D28"/>
    <w:rsid w:val="00AC4F25"/>
    <w:rsid w:val="00AD1A98"/>
    <w:rsid w:val="00AD2D12"/>
    <w:rsid w:val="00AD5DCC"/>
    <w:rsid w:val="00AD6CA5"/>
    <w:rsid w:val="00AD7904"/>
    <w:rsid w:val="00AE0987"/>
    <w:rsid w:val="00AE20E0"/>
    <w:rsid w:val="00AE3058"/>
    <w:rsid w:val="00AE7AAC"/>
    <w:rsid w:val="00AF0919"/>
    <w:rsid w:val="00AF0C8C"/>
    <w:rsid w:val="00AF36DE"/>
    <w:rsid w:val="00B018D4"/>
    <w:rsid w:val="00B02C05"/>
    <w:rsid w:val="00B02C14"/>
    <w:rsid w:val="00B0362F"/>
    <w:rsid w:val="00B05E2D"/>
    <w:rsid w:val="00B0655E"/>
    <w:rsid w:val="00B07E32"/>
    <w:rsid w:val="00B11519"/>
    <w:rsid w:val="00B170F7"/>
    <w:rsid w:val="00B177E2"/>
    <w:rsid w:val="00B2030E"/>
    <w:rsid w:val="00B20DD2"/>
    <w:rsid w:val="00B25CDF"/>
    <w:rsid w:val="00B30A70"/>
    <w:rsid w:val="00B312FD"/>
    <w:rsid w:val="00B31AE8"/>
    <w:rsid w:val="00B32411"/>
    <w:rsid w:val="00B334EC"/>
    <w:rsid w:val="00B3457A"/>
    <w:rsid w:val="00B41806"/>
    <w:rsid w:val="00B420F4"/>
    <w:rsid w:val="00B42593"/>
    <w:rsid w:val="00B4290B"/>
    <w:rsid w:val="00B44D4B"/>
    <w:rsid w:val="00B47D13"/>
    <w:rsid w:val="00B5455B"/>
    <w:rsid w:val="00B70034"/>
    <w:rsid w:val="00B70175"/>
    <w:rsid w:val="00B7128B"/>
    <w:rsid w:val="00B72029"/>
    <w:rsid w:val="00B7212E"/>
    <w:rsid w:val="00B7355D"/>
    <w:rsid w:val="00B766CA"/>
    <w:rsid w:val="00B77394"/>
    <w:rsid w:val="00B82CB2"/>
    <w:rsid w:val="00B8310D"/>
    <w:rsid w:val="00B844F1"/>
    <w:rsid w:val="00B84B8B"/>
    <w:rsid w:val="00B85F71"/>
    <w:rsid w:val="00B9091A"/>
    <w:rsid w:val="00B914C4"/>
    <w:rsid w:val="00B93BFC"/>
    <w:rsid w:val="00B93DB8"/>
    <w:rsid w:val="00B9747F"/>
    <w:rsid w:val="00BA15DF"/>
    <w:rsid w:val="00BA1911"/>
    <w:rsid w:val="00BA3DDF"/>
    <w:rsid w:val="00BA463D"/>
    <w:rsid w:val="00BB0028"/>
    <w:rsid w:val="00BB0B7C"/>
    <w:rsid w:val="00BB7170"/>
    <w:rsid w:val="00BB7827"/>
    <w:rsid w:val="00BC1674"/>
    <w:rsid w:val="00BC24AC"/>
    <w:rsid w:val="00BC2FEB"/>
    <w:rsid w:val="00BC6676"/>
    <w:rsid w:val="00BD3681"/>
    <w:rsid w:val="00BE357D"/>
    <w:rsid w:val="00BE5AA3"/>
    <w:rsid w:val="00BE7B48"/>
    <w:rsid w:val="00C00A40"/>
    <w:rsid w:val="00C07233"/>
    <w:rsid w:val="00C15379"/>
    <w:rsid w:val="00C22C90"/>
    <w:rsid w:val="00C24E3E"/>
    <w:rsid w:val="00C268D5"/>
    <w:rsid w:val="00C30D3A"/>
    <w:rsid w:val="00C31041"/>
    <w:rsid w:val="00C34F1B"/>
    <w:rsid w:val="00C40A00"/>
    <w:rsid w:val="00C41421"/>
    <w:rsid w:val="00C41A24"/>
    <w:rsid w:val="00C4366D"/>
    <w:rsid w:val="00C451B2"/>
    <w:rsid w:val="00C5398D"/>
    <w:rsid w:val="00C646AB"/>
    <w:rsid w:val="00C64BE8"/>
    <w:rsid w:val="00C660F0"/>
    <w:rsid w:val="00C70717"/>
    <w:rsid w:val="00C721E6"/>
    <w:rsid w:val="00C72927"/>
    <w:rsid w:val="00C81319"/>
    <w:rsid w:val="00C867E6"/>
    <w:rsid w:val="00C87247"/>
    <w:rsid w:val="00C8776A"/>
    <w:rsid w:val="00C9106A"/>
    <w:rsid w:val="00C96353"/>
    <w:rsid w:val="00CA109A"/>
    <w:rsid w:val="00CA1BE7"/>
    <w:rsid w:val="00CA523C"/>
    <w:rsid w:val="00CA66B4"/>
    <w:rsid w:val="00CA78C8"/>
    <w:rsid w:val="00CA79FE"/>
    <w:rsid w:val="00CB380E"/>
    <w:rsid w:val="00CB775D"/>
    <w:rsid w:val="00CC162E"/>
    <w:rsid w:val="00CC1FCE"/>
    <w:rsid w:val="00CC5197"/>
    <w:rsid w:val="00CC7503"/>
    <w:rsid w:val="00CD27B1"/>
    <w:rsid w:val="00CD2B78"/>
    <w:rsid w:val="00CD7331"/>
    <w:rsid w:val="00CE0593"/>
    <w:rsid w:val="00CE1BB0"/>
    <w:rsid w:val="00CE3BAC"/>
    <w:rsid w:val="00CE6746"/>
    <w:rsid w:val="00CE6DFC"/>
    <w:rsid w:val="00CF15FF"/>
    <w:rsid w:val="00CF427C"/>
    <w:rsid w:val="00CF72E1"/>
    <w:rsid w:val="00D00BD8"/>
    <w:rsid w:val="00D01182"/>
    <w:rsid w:val="00D016B5"/>
    <w:rsid w:val="00D02C9C"/>
    <w:rsid w:val="00D074DB"/>
    <w:rsid w:val="00D114FB"/>
    <w:rsid w:val="00D14D12"/>
    <w:rsid w:val="00D15CAB"/>
    <w:rsid w:val="00D23A8F"/>
    <w:rsid w:val="00D24D82"/>
    <w:rsid w:val="00D25030"/>
    <w:rsid w:val="00D260EE"/>
    <w:rsid w:val="00D2747A"/>
    <w:rsid w:val="00D335C7"/>
    <w:rsid w:val="00D379D0"/>
    <w:rsid w:val="00D4449B"/>
    <w:rsid w:val="00D44549"/>
    <w:rsid w:val="00D45DE3"/>
    <w:rsid w:val="00D5107A"/>
    <w:rsid w:val="00D52A82"/>
    <w:rsid w:val="00D53E27"/>
    <w:rsid w:val="00D5713D"/>
    <w:rsid w:val="00D60FF1"/>
    <w:rsid w:val="00D64A1C"/>
    <w:rsid w:val="00D7446E"/>
    <w:rsid w:val="00D75C2E"/>
    <w:rsid w:val="00D80A3B"/>
    <w:rsid w:val="00D85DC9"/>
    <w:rsid w:val="00D86084"/>
    <w:rsid w:val="00D8740C"/>
    <w:rsid w:val="00D90CE3"/>
    <w:rsid w:val="00D91D60"/>
    <w:rsid w:val="00D97444"/>
    <w:rsid w:val="00DA10DC"/>
    <w:rsid w:val="00DA60BB"/>
    <w:rsid w:val="00DA61DC"/>
    <w:rsid w:val="00DB0224"/>
    <w:rsid w:val="00DB1439"/>
    <w:rsid w:val="00DB21A1"/>
    <w:rsid w:val="00DB2847"/>
    <w:rsid w:val="00DB38F1"/>
    <w:rsid w:val="00DB4E64"/>
    <w:rsid w:val="00DB553D"/>
    <w:rsid w:val="00DB7B28"/>
    <w:rsid w:val="00DC00B7"/>
    <w:rsid w:val="00DC0484"/>
    <w:rsid w:val="00DC07D7"/>
    <w:rsid w:val="00DC1C3D"/>
    <w:rsid w:val="00DC35E5"/>
    <w:rsid w:val="00DC5797"/>
    <w:rsid w:val="00DC5DA1"/>
    <w:rsid w:val="00DC5E45"/>
    <w:rsid w:val="00DC7067"/>
    <w:rsid w:val="00DD1972"/>
    <w:rsid w:val="00DD3801"/>
    <w:rsid w:val="00DD6F2E"/>
    <w:rsid w:val="00DE0F17"/>
    <w:rsid w:val="00DE4B83"/>
    <w:rsid w:val="00DE7416"/>
    <w:rsid w:val="00DF19F8"/>
    <w:rsid w:val="00DF76CC"/>
    <w:rsid w:val="00E0138F"/>
    <w:rsid w:val="00E01441"/>
    <w:rsid w:val="00E01F54"/>
    <w:rsid w:val="00E04389"/>
    <w:rsid w:val="00E117DC"/>
    <w:rsid w:val="00E13E7D"/>
    <w:rsid w:val="00E14C64"/>
    <w:rsid w:val="00E171A7"/>
    <w:rsid w:val="00E219C7"/>
    <w:rsid w:val="00E21B8F"/>
    <w:rsid w:val="00E2254E"/>
    <w:rsid w:val="00E23998"/>
    <w:rsid w:val="00E23DC9"/>
    <w:rsid w:val="00E273E1"/>
    <w:rsid w:val="00E32BA1"/>
    <w:rsid w:val="00E34D93"/>
    <w:rsid w:val="00E3637F"/>
    <w:rsid w:val="00E36A74"/>
    <w:rsid w:val="00E424FD"/>
    <w:rsid w:val="00E465D1"/>
    <w:rsid w:val="00E504AA"/>
    <w:rsid w:val="00E52031"/>
    <w:rsid w:val="00E56CA1"/>
    <w:rsid w:val="00E57CCD"/>
    <w:rsid w:val="00E64266"/>
    <w:rsid w:val="00E6765F"/>
    <w:rsid w:val="00E7236C"/>
    <w:rsid w:val="00E73B96"/>
    <w:rsid w:val="00E73E1C"/>
    <w:rsid w:val="00E75915"/>
    <w:rsid w:val="00E759A4"/>
    <w:rsid w:val="00E75EE5"/>
    <w:rsid w:val="00E85567"/>
    <w:rsid w:val="00E902B7"/>
    <w:rsid w:val="00E922C4"/>
    <w:rsid w:val="00E959BB"/>
    <w:rsid w:val="00E95E16"/>
    <w:rsid w:val="00EA24B3"/>
    <w:rsid w:val="00EA4428"/>
    <w:rsid w:val="00EA5E66"/>
    <w:rsid w:val="00EA6B9F"/>
    <w:rsid w:val="00EA6E36"/>
    <w:rsid w:val="00EB26FC"/>
    <w:rsid w:val="00EB28E5"/>
    <w:rsid w:val="00EB335D"/>
    <w:rsid w:val="00EB34C7"/>
    <w:rsid w:val="00EB48F7"/>
    <w:rsid w:val="00EB733F"/>
    <w:rsid w:val="00EB7A65"/>
    <w:rsid w:val="00EC522C"/>
    <w:rsid w:val="00ED1CE5"/>
    <w:rsid w:val="00ED1EA9"/>
    <w:rsid w:val="00ED38FE"/>
    <w:rsid w:val="00ED62F6"/>
    <w:rsid w:val="00EE47CC"/>
    <w:rsid w:val="00EE4F42"/>
    <w:rsid w:val="00EE5113"/>
    <w:rsid w:val="00EF1978"/>
    <w:rsid w:val="00F006F6"/>
    <w:rsid w:val="00F06553"/>
    <w:rsid w:val="00F06A7D"/>
    <w:rsid w:val="00F0715B"/>
    <w:rsid w:val="00F078B4"/>
    <w:rsid w:val="00F122FA"/>
    <w:rsid w:val="00F13020"/>
    <w:rsid w:val="00F136A2"/>
    <w:rsid w:val="00F14DCF"/>
    <w:rsid w:val="00F1710F"/>
    <w:rsid w:val="00F25DD5"/>
    <w:rsid w:val="00F308C5"/>
    <w:rsid w:val="00F339D0"/>
    <w:rsid w:val="00F367FB"/>
    <w:rsid w:val="00F36806"/>
    <w:rsid w:val="00F36EE7"/>
    <w:rsid w:val="00F402BB"/>
    <w:rsid w:val="00F403F4"/>
    <w:rsid w:val="00F41129"/>
    <w:rsid w:val="00F41393"/>
    <w:rsid w:val="00F419B0"/>
    <w:rsid w:val="00F4459C"/>
    <w:rsid w:val="00F456C4"/>
    <w:rsid w:val="00F45A99"/>
    <w:rsid w:val="00F52959"/>
    <w:rsid w:val="00F53947"/>
    <w:rsid w:val="00F569AB"/>
    <w:rsid w:val="00F606B9"/>
    <w:rsid w:val="00F610EB"/>
    <w:rsid w:val="00F61EAC"/>
    <w:rsid w:val="00F62CB0"/>
    <w:rsid w:val="00F635B9"/>
    <w:rsid w:val="00F64DF1"/>
    <w:rsid w:val="00F74814"/>
    <w:rsid w:val="00F753A1"/>
    <w:rsid w:val="00F75A19"/>
    <w:rsid w:val="00F76FD9"/>
    <w:rsid w:val="00F774E5"/>
    <w:rsid w:val="00F86459"/>
    <w:rsid w:val="00F923E9"/>
    <w:rsid w:val="00F943A4"/>
    <w:rsid w:val="00F94FA5"/>
    <w:rsid w:val="00F9713A"/>
    <w:rsid w:val="00F97957"/>
    <w:rsid w:val="00FA3D2A"/>
    <w:rsid w:val="00FA418D"/>
    <w:rsid w:val="00FA51DF"/>
    <w:rsid w:val="00FA7919"/>
    <w:rsid w:val="00FC11D9"/>
    <w:rsid w:val="00FC697F"/>
    <w:rsid w:val="00FC76DB"/>
    <w:rsid w:val="00FD0847"/>
    <w:rsid w:val="00FD211F"/>
    <w:rsid w:val="00FD35E1"/>
    <w:rsid w:val="00FD3639"/>
    <w:rsid w:val="00FD3B9F"/>
    <w:rsid w:val="00FD3DBA"/>
    <w:rsid w:val="00FD5200"/>
    <w:rsid w:val="00FD68A4"/>
    <w:rsid w:val="00FD769F"/>
    <w:rsid w:val="00FE32B1"/>
    <w:rsid w:val="00FE6CA0"/>
    <w:rsid w:val="00FE7674"/>
    <w:rsid w:val="00FF0288"/>
    <w:rsid w:val="00FF444D"/>
    <w:rsid w:val="029C1E5D"/>
    <w:rsid w:val="05280A3E"/>
    <w:rsid w:val="06AF73FA"/>
    <w:rsid w:val="0A316D36"/>
    <w:rsid w:val="0AE61AEF"/>
    <w:rsid w:val="0E81300E"/>
    <w:rsid w:val="0EA27DF6"/>
    <w:rsid w:val="0F3F46FB"/>
    <w:rsid w:val="116D76CD"/>
    <w:rsid w:val="133775B0"/>
    <w:rsid w:val="14D40E6F"/>
    <w:rsid w:val="16466C3D"/>
    <w:rsid w:val="1B8B50C0"/>
    <w:rsid w:val="1BF44F43"/>
    <w:rsid w:val="1C281B87"/>
    <w:rsid w:val="1EA0654E"/>
    <w:rsid w:val="22473CE1"/>
    <w:rsid w:val="26F72163"/>
    <w:rsid w:val="27F20008"/>
    <w:rsid w:val="29CA4443"/>
    <w:rsid w:val="2D297847"/>
    <w:rsid w:val="30D805CC"/>
    <w:rsid w:val="32CF5F94"/>
    <w:rsid w:val="33871322"/>
    <w:rsid w:val="35702F1F"/>
    <w:rsid w:val="3596468E"/>
    <w:rsid w:val="37AB5B08"/>
    <w:rsid w:val="3AF141B8"/>
    <w:rsid w:val="3BC12044"/>
    <w:rsid w:val="3C9A0CA4"/>
    <w:rsid w:val="3F5B5C7D"/>
    <w:rsid w:val="3F727DCE"/>
    <w:rsid w:val="3FCF2D8F"/>
    <w:rsid w:val="417D62DF"/>
    <w:rsid w:val="42E874D3"/>
    <w:rsid w:val="43875D58"/>
    <w:rsid w:val="4466370E"/>
    <w:rsid w:val="4987222B"/>
    <w:rsid w:val="49FA519F"/>
    <w:rsid w:val="4A0B20A9"/>
    <w:rsid w:val="4B3C0A96"/>
    <w:rsid w:val="4D575AA9"/>
    <w:rsid w:val="51B67D72"/>
    <w:rsid w:val="51FD3744"/>
    <w:rsid w:val="54A413E3"/>
    <w:rsid w:val="552B48C8"/>
    <w:rsid w:val="55DF6AF9"/>
    <w:rsid w:val="567921A3"/>
    <w:rsid w:val="57E65792"/>
    <w:rsid w:val="59B559A4"/>
    <w:rsid w:val="5A090D31"/>
    <w:rsid w:val="5C0F3FA0"/>
    <w:rsid w:val="5D783045"/>
    <w:rsid w:val="5EAC5660"/>
    <w:rsid w:val="5EDF6514"/>
    <w:rsid w:val="610D5A99"/>
    <w:rsid w:val="611550A0"/>
    <w:rsid w:val="612F67AE"/>
    <w:rsid w:val="61B57F63"/>
    <w:rsid w:val="624D6679"/>
    <w:rsid w:val="695E7023"/>
    <w:rsid w:val="69D368A9"/>
    <w:rsid w:val="6CEB283C"/>
    <w:rsid w:val="6E3269D7"/>
    <w:rsid w:val="6F3F34EB"/>
    <w:rsid w:val="6FFE1AE1"/>
    <w:rsid w:val="700A5400"/>
    <w:rsid w:val="71341293"/>
    <w:rsid w:val="71785B09"/>
    <w:rsid w:val="74BF4A68"/>
    <w:rsid w:val="76D8388B"/>
    <w:rsid w:val="780451DC"/>
    <w:rsid w:val="7AC277E6"/>
    <w:rsid w:val="7AC917BD"/>
    <w:rsid w:val="7C3A7CDC"/>
    <w:rsid w:val="7D7809E9"/>
    <w:rsid w:val="7E7B7955"/>
    <w:rsid w:val="7F08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1"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0"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76"/>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83"/>
    <w:qFormat/>
    <w:uiPriority w:val="0"/>
    <w:pPr>
      <w:keepNext/>
      <w:keepLines/>
      <w:spacing w:before="280" w:after="290" w:line="560" w:lineRule="exact"/>
      <w:outlineLvl w:val="3"/>
    </w:pPr>
    <w:rPr>
      <w:rFonts w:ascii="黑体" w:hAnsi="黑体" w:eastAsia="黑体"/>
      <w:b/>
      <w:bCs/>
      <w:color w:val="000000"/>
      <w:sz w:val="28"/>
      <w:szCs w:val="28"/>
    </w:rPr>
  </w:style>
  <w:style w:type="paragraph" w:styleId="7">
    <w:name w:val="heading 5"/>
    <w:next w:val="1"/>
    <w:link w:val="84"/>
    <w:qFormat/>
    <w:uiPriority w:val="0"/>
    <w:pPr>
      <w:spacing w:before="240" w:after="120"/>
      <w:outlineLvl w:val="4"/>
    </w:pPr>
    <w:rPr>
      <w:rFonts w:ascii="Arial" w:hAnsi="Arial" w:eastAsia="黑体" w:cs="Times New Roman"/>
      <w:b/>
      <w:color w:val="92D400"/>
      <w:kern w:val="2"/>
      <w:sz w:val="24"/>
      <w:lang w:val="en-US" w:eastAsia="zh-CN" w:bidi="ar-SA"/>
    </w:rPr>
  </w:style>
  <w:style w:type="paragraph" w:styleId="8">
    <w:name w:val="heading 6"/>
    <w:basedOn w:val="1"/>
    <w:next w:val="1"/>
    <w:link w:val="85"/>
    <w:qFormat/>
    <w:uiPriority w:val="0"/>
    <w:pPr>
      <w:keepNext/>
      <w:keepLines/>
      <w:spacing w:before="240" w:after="64" w:line="320" w:lineRule="auto"/>
      <w:outlineLvl w:val="5"/>
    </w:pPr>
    <w:rPr>
      <w:rFonts w:ascii="Arial" w:hAnsi="Arial" w:eastAsia="黑体"/>
      <w:b/>
      <w:bCs/>
      <w:sz w:val="24"/>
      <w:szCs w:val="24"/>
    </w:rPr>
  </w:style>
  <w:style w:type="paragraph" w:styleId="9">
    <w:name w:val="heading 7"/>
    <w:next w:val="1"/>
    <w:link w:val="86"/>
    <w:qFormat/>
    <w:uiPriority w:val="99"/>
    <w:pPr>
      <w:spacing w:before="240" w:after="120"/>
      <w:outlineLvl w:val="6"/>
    </w:pPr>
    <w:rPr>
      <w:rFonts w:ascii="Arial" w:hAnsi="Arial" w:eastAsia="黑体" w:cs="Times New Roman"/>
      <w:b/>
      <w:color w:val="C9DD03"/>
      <w:kern w:val="2"/>
      <w:sz w:val="24"/>
      <w:lang w:val="en-US" w:eastAsia="zh-CN" w:bidi="ar-SA"/>
    </w:rPr>
  </w:style>
  <w:style w:type="paragraph" w:styleId="10">
    <w:name w:val="heading 8"/>
    <w:next w:val="1"/>
    <w:link w:val="87"/>
    <w:qFormat/>
    <w:uiPriority w:val="99"/>
    <w:pPr>
      <w:spacing w:before="240" w:after="120"/>
      <w:outlineLvl w:val="7"/>
    </w:pPr>
    <w:rPr>
      <w:rFonts w:ascii="Arial" w:hAnsi="Arial" w:eastAsia="黑体" w:cs="Times New Roman"/>
      <w:b/>
      <w:i/>
      <w:kern w:val="2"/>
      <w:sz w:val="24"/>
      <w:lang w:val="en-US" w:eastAsia="zh-CN" w:bidi="ar-SA"/>
    </w:rPr>
  </w:style>
  <w:style w:type="paragraph" w:styleId="11">
    <w:name w:val="heading 9"/>
    <w:next w:val="1"/>
    <w:link w:val="88"/>
    <w:qFormat/>
    <w:uiPriority w:val="99"/>
    <w:pPr>
      <w:spacing w:before="240" w:after="120"/>
      <w:outlineLvl w:val="8"/>
    </w:pPr>
    <w:rPr>
      <w:rFonts w:ascii="Arial" w:hAnsi="Arial" w:eastAsia="黑体" w:cs="Times New Roman"/>
      <w:i/>
      <w:kern w:val="2"/>
      <w:sz w:val="24"/>
      <w:lang w:val="en-US" w:eastAsia="zh-CN" w:bidi="ar-SA"/>
    </w:rPr>
  </w:style>
  <w:style w:type="character" w:default="1" w:styleId="66">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szCs w:val="20"/>
    </w:rPr>
  </w:style>
  <w:style w:type="paragraph" w:styleId="12">
    <w:name w:val="toc 7"/>
    <w:basedOn w:val="1"/>
    <w:next w:val="1"/>
    <w:qFormat/>
    <w:uiPriority w:val="39"/>
    <w:pPr>
      <w:ind w:left="2520" w:leftChars="1200"/>
    </w:pPr>
    <w:rPr>
      <w:rFonts w:ascii="Times New Roman" w:hAnsi="Times New Roman"/>
      <w:szCs w:val="24"/>
    </w:rPr>
  </w:style>
  <w:style w:type="paragraph" w:styleId="13">
    <w:name w:val="List Number 2"/>
    <w:basedOn w:val="1"/>
    <w:qFormat/>
    <w:uiPriority w:val="99"/>
    <w:pPr>
      <w:tabs>
        <w:tab w:val="left" w:pos="780"/>
        <w:tab w:val="left" w:pos="1200"/>
      </w:tabs>
      <w:ind w:left="780" w:leftChars="200" w:hanging="360" w:hangingChars="200"/>
    </w:pPr>
    <w:rPr>
      <w:rFonts w:ascii="Times New Roman" w:hAnsi="Times New Roman"/>
      <w:szCs w:val="20"/>
    </w:rPr>
  </w:style>
  <w:style w:type="paragraph" w:styleId="14">
    <w:name w:val="Note Heading"/>
    <w:basedOn w:val="1"/>
    <w:next w:val="1"/>
    <w:link w:val="208"/>
    <w:qFormat/>
    <w:uiPriority w:val="99"/>
    <w:pPr>
      <w:jc w:val="center"/>
    </w:pPr>
    <w:rPr>
      <w:kern w:val="0"/>
      <w:sz w:val="20"/>
      <w:szCs w:val="20"/>
    </w:rPr>
  </w:style>
  <w:style w:type="paragraph" w:styleId="15">
    <w:name w:val="List Bullet 4"/>
    <w:basedOn w:val="1"/>
    <w:qFormat/>
    <w:uiPriority w:val="99"/>
    <w:pPr>
      <w:tabs>
        <w:tab w:val="left" w:pos="720"/>
        <w:tab w:val="left" w:pos="1620"/>
      </w:tabs>
      <w:ind w:left="1620" w:leftChars="600" w:hanging="720"/>
    </w:pPr>
    <w:rPr>
      <w:rFonts w:ascii="Times New Roman" w:hAnsi="Times New Roman"/>
      <w:szCs w:val="20"/>
    </w:rPr>
  </w:style>
  <w:style w:type="paragraph" w:styleId="16">
    <w:name w:val="List Number"/>
    <w:basedOn w:val="1"/>
    <w:qFormat/>
    <w:uiPriority w:val="99"/>
    <w:pPr>
      <w:tabs>
        <w:tab w:val="left" w:pos="425"/>
        <w:tab w:val="left" w:pos="975"/>
      </w:tabs>
      <w:ind w:left="425" w:hanging="425"/>
    </w:pPr>
    <w:rPr>
      <w:rFonts w:ascii="Times New Roman" w:hAnsi="Times New Roman"/>
      <w:sz w:val="28"/>
      <w:szCs w:val="20"/>
    </w:rPr>
  </w:style>
  <w:style w:type="paragraph" w:styleId="17">
    <w:name w:val="caption"/>
    <w:basedOn w:val="1"/>
    <w:next w:val="1"/>
    <w:qFormat/>
    <w:uiPriority w:val="99"/>
    <w:pPr>
      <w:widowControl/>
      <w:jc w:val="left"/>
    </w:pPr>
    <w:rPr>
      <w:rFonts w:ascii="Arial" w:hAnsi="Arial"/>
      <w:b/>
      <w:kern w:val="0"/>
      <w:sz w:val="16"/>
      <w:szCs w:val="20"/>
    </w:rPr>
  </w:style>
  <w:style w:type="paragraph" w:styleId="18">
    <w:name w:val="List Bullet"/>
    <w:basedOn w:val="1"/>
    <w:qFormat/>
    <w:uiPriority w:val="99"/>
    <w:pPr>
      <w:tabs>
        <w:tab w:val="left" w:pos="360"/>
        <w:tab w:val="left" w:pos="780"/>
      </w:tabs>
      <w:ind w:left="360" w:leftChars="200" w:hanging="360" w:hangingChars="200"/>
    </w:pPr>
    <w:rPr>
      <w:rFonts w:ascii="Times New Roman" w:hAnsi="Times New Roman"/>
      <w:szCs w:val="20"/>
    </w:rPr>
  </w:style>
  <w:style w:type="paragraph" w:styleId="19">
    <w:name w:val="Document Map"/>
    <w:basedOn w:val="1"/>
    <w:link w:val="172"/>
    <w:qFormat/>
    <w:uiPriority w:val="99"/>
    <w:pPr>
      <w:shd w:val="clear" w:color="auto" w:fill="000080"/>
    </w:pPr>
    <w:rPr>
      <w:rFonts w:ascii="Times New Roman" w:hAnsi="Times New Roman"/>
      <w:szCs w:val="24"/>
    </w:rPr>
  </w:style>
  <w:style w:type="paragraph" w:styleId="20">
    <w:name w:val="toa heading"/>
    <w:basedOn w:val="1"/>
    <w:next w:val="1"/>
    <w:qFormat/>
    <w:uiPriority w:val="99"/>
    <w:pPr>
      <w:spacing w:before="120"/>
    </w:pPr>
    <w:rPr>
      <w:rFonts w:ascii="Arial" w:hAnsi="Arial"/>
      <w:b/>
      <w:szCs w:val="20"/>
    </w:rPr>
  </w:style>
  <w:style w:type="paragraph" w:styleId="21">
    <w:name w:val="annotation text"/>
    <w:basedOn w:val="1"/>
    <w:link w:val="80"/>
    <w:unhideWhenUsed/>
    <w:qFormat/>
    <w:uiPriority w:val="99"/>
    <w:pPr>
      <w:jc w:val="left"/>
    </w:pPr>
    <w:rPr>
      <w:rFonts w:ascii="Times New Roman" w:hAnsi="Times New Roman"/>
      <w:szCs w:val="24"/>
    </w:rPr>
  </w:style>
  <w:style w:type="paragraph" w:styleId="22">
    <w:name w:val="Salutation"/>
    <w:basedOn w:val="1"/>
    <w:next w:val="1"/>
    <w:link w:val="196"/>
    <w:qFormat/>
    <w:uiPriority w:val="99"/>
    <w:rPr>
      <w:kern w:val="0"/>
      <w:sz w:val="20"/>
      <w:szCs w:val="20"/>
    </w:rPr>
  </w:style>
  <w:style w:type="paragraph" w:styleId="23">
    <w:name w:val="Body Text 3"/>
    <w:basedOn w:val="1"/>
    <w:link w:val="121"/>
    <w:qFormat/>
    <w:uiPriority w:val="99"/>
    <w:rPr>
      <w:rFonts w:ascii="Times New Roman" w:hAnsi="Times New Roman" w:eastAsia="方正楷体简体"/>
      <w:sz w:val="24"/>
      <w:szCs w:val="20"/>
    </w:rPr>
  </w:style>
  <w:style w:type="paragraph" w:styleId="24">
    <w:name w:val="List Bullet 3"/>
    <w:basedOn w:val="1"/>
    <w:qFormat/>
    <w:uiPriority w:val="99"/>
    <w:pPr>
      <w:tabs>
        <w:tab w:val="left" w:pos="1200"/>
        <w:tab w:val="left" w:pos="1620"/>
      </w:tabs>
      <w:ind w:left="1200" w:leftChars="400" w:hanging="360" w:hangingChars="200"/>
    </w:pPr>
    <w:rPr>
      <w:rFonts w:ascii="Times New Roman" w:hAnsi="Times New Roman"/>
      <w:szCs w:val="20"/>
    </w:rPr>
  </w:style>
  <w:style w:type="paragraph" w:styleId="25">
    <w:name w:val="Body Text"/>
    <w:basedOn w:val="1"/>
    <w:link w:val="116"/>
    <w:qFormat/>
    <w:uiPriority w:val="99"/>
    <w:pPr>
      <w:spacing w:after="120"/>
    </w:pPr>
    <w:rPr>
      <w:rFonts w:ascii="Times New Roman" w:hAnsi="Times New Roman"/>
      <w:szCs w:val="24"/>
    </w:rPr>
  </w:style>
  <w:style w:type="paragraph" w:styleId="26">
    <w:name w:val="Body Text Indent"/>
    <w:basedOn w:val="1"/>
    <w:link w:val="93"/>
    <w:qFormat/>
    <w:uiPriority w:val="99"/>
    <w:pPr>
      <w:spacing w:after="120"/>
      <w:ind w:left="420" w:leftChars="200"/>
    </w:pPr>
    <w:rPr>
      <w:rFonts w:ascii="Times New Roman" w:hAnsi="Times New Roman"/>
      <w:szCs w:val="24"/>
    </w:rPr>
  </w:style>
  <w:style w:type="paragraph" w:styleId="27">
    <w:name w:val="List Number 3"/>
    <w:basedOn w:val="1"/>
    <w:qFormat/>
    <w:uiPriority w:val="99"/>
    <w:pPr>
      <w:tabs>
        <w:tab w:val="left" w:pos="1200"/>
        <w:tab w:val="left" w:pos="1620"/>
      </w:tabs>
      <w:ind w:left="1200" w:leftChars="400" w:hanging="360" w:hangingChars="200"/>
    </w:pPr>
    <w:rPr>
      <w:rFonts w:ascii="Times New Roman" w:hAnsi="Times New Roman"/>
      <w:szCs w:val="20"/>
    </w:rPr>
  </w:style>
  <w:style w:type="paragraph" w:styleId="28">
    <w:name w:val="Block Text"/>
    <w:basedOn w:val="1"/>
    <w:qFormat/>
    <w:uiPriority w:val="99"/>
    <w:pPr>
      <w:spacing w:line="300" w:lineRule="auto"/>
      <w:ind w:left="1620" w:right="26"/>
    </w:pPr>
    <w:rPr>
      <w:rFonts w:ascii="宋体" w:hAnsi="Times New Roman"/>
      <w:szCs w:val="20"/>
    </w:rPr>
  </w:style>
  <w:style w:type="paragraph" w:styleId="29">
    <w:name w:val="List Bullet 2"/>
    <w:basedOn w:val="1"/>
    <w:qFormat/>
    <w:uiPriority w:val="99"/>
    <w:pPr>
      <w:tabs>
        <w:tab w:val="left" w:pos="780"/>
        <w:tab w:val="left" w:pos="1200"/>
      </w:tabs>
      <w:ind w:left="780" w:leftChars="200" w:hanging="360" w:hangingChars="200"/>
    </w:pPr>
    <w:rPr>
      <w:rFonts w:ascii="Times New Roman" w:hAnsi="Times New Roman"/>
      <w:szCs w:val="20"/>
    </w:rPr>
  </w:style>
  <w:style w:type="paragraph" w:styleId="30">
    <w:name w:val="toc 5"/>
    <w:basedOn w:val="1"/>
    <w:next w:val="1"/>
    <w:qFormat/>
    <w:uiPriority w:val="39"/>
    <w:pPr>
      <w:ind w:left="1680" w:leftChars="800"/>
    </w:pPr>
    <w:rPr>
      <w:rFonts w:ascii="Times New Roman" w:hAnsi="Times New Roman" w:eastAsia="黑体"/>
      <w:szCs w:val="24"/>
    </w:rPr>
  </w:style>
  <w:style w:type="paragraph" w:styleId="31">
    <w:name w:val="toc 3"/>
    <w:basedOn w:val="1"/>
    <w:next w:val="1"/>
    <w:unhideWhenUsed/>
    <w:qFormat/>
    <w:uiPriority w:val="39"/>
    <w:pPr>
      <w:tabs>
        <w:tab w:val="right" w:leader="dot" w:pos="9043"/>
      </w:tabs>
      <w:spacing w:line="560" w:lineRule="exact"/>
      <w:ind w:right="-197" w:rightChars="-94"/>
    </w:pPr>
  </w:style>
  <w:style w:type="paragraph" w:styleId="32">
    <w:name w:val="Plain Text"/>
    <w:basedOn w:val="1"/>
    <w:link w:val="97"/>
    <w:qFormat/>
    <w:uiPriority w:val="99"/>
    <w:rPr>
      <w:rFonts w:ascii="宋体" w:hAnsi="Courier New"/>
      <w:szCs w:val="20"/>
    </w:rPr>
  </w:style>
  <w:style w:type="paragraph" w:styleId="33">
    <w:name w:val="List Bullet 5"/>
    <w:basedOn w:val="1"/>
    <w:qFormat/>
    <w:uiPriority w:val="99"/>
    <w:pPr>
      <w:tabs>
        <w:tab w:val="left" w:pos="2040"/>
      </w:tabs>
      <w:ind w:left="2040" w:leftChars="800" w:hanging="360" w:hangingChars="200"/>
    </w:pPr>
    <w:rPr>
      <w:rFonts w:ascii="Times New Roman" w:hAnsi="Times New Roman"/>
      <w:szCs w:val="20"/>
    </w:rPr>
  </w:style>
  <w:style w:type="paragraph" w:styleId="34">
    <w:name w:val="List Number 4"/>
    <w:basedOn w:val="1"/>
    <w:qFormat/>
    <w:uiPriority w:val="99"/>
    <w:pPr>
      <w:tabs>
        <w:tab w:val="left" w:pos="1620"/>
        <w:tab w:val="left" w:pos="2040"/>
      </w:tabs>
      <w:ind w:left="1620" w:leftChars="600" w:hanging="360" w:hangingChars="200"/>
    </w:pPr>
    <w:rPr>
      <w:rFonts w:ascii="Times New Roman" w:hAnsi="Times New Roman"/>
      <w:szCs w:val="20"/>
    </w:rPr>
  </w:style>
  <w:style w:type="paragraph" w:styleId="35">
    <w:name w:val="toc 8"/>
    <w:basedOn w:val="1"/>
    <w:next w:val="1"/>
    <w:qFormat/>
    <w:uiPriority w:val="39"/>
    <w:pPr>
      <w:ind w:left="2940" w:leftChars="1400"/>
    </w:pPr>
    <w:rPr>
      <w:rFonts w:ascii="Times New Roman" w:hAnsi="Times New Roman"/>
      <w:szCs w:val="24"/>
    </w:rPr>
  </w:style>
  <w:style w:type="paragraph" w:styleId="36">
    <w:name w:val="Date"/>
    <w:basedOn w:val="1"/>
    <w:next w:val="1"/>
    <w:link w:val="119"/>
    <w:qFormat/>
    <w:uiPriority w:val="99"/>
    <w:rPr>
      <w:rFonts w:ascii="Times New Roman" w:hAnsi="Times New Roman"/>
      <w:sz w:val="28"/>
      <w:szCs w:val="20"/>
    </w:rPr>
  </w:style>
  <w:style w:type="paragraph" w:styleId="37">
    <w:name w:val="Body Text Indent 2"/>
    <w:basedOn w:val="1"/>
    <w:link w:val="89"/>
    <w:qFormat/>
    <w:uiPriority w:val="99"/>
    <w:pPr>
      <w:spacing w:line="500" w:lineRule="exact"/>
      <w:ind w:firstLine="560" w:firstLineChars="200"/>
    </w:pPr>
    <w:rPr>
      <w:rFonts w:ascii="仿宋_GB2312" w:hAnsi="宋体" w:eastAsia="仿宋_GB2312"/>
      <w:sz w:val="28"/>
      <w:szCs w:val="24"/>
    </w:rPr>
  </w:style>
  <w:style w:type="paragraph" w:styleId="38">
    <w:name w:val="endnote text"/>
    <w:basedOn w:val="1"/>
    <w:link w:val="127"/>
    <w:semiHidden/>
    <w:qFormat/>
    <w:uiPriority w:val="99"/>
    <w:pPr>
      <w:snapToGrid w:val="0"/>
      <w:jc w:val="left"/>
    </w:pPr>
    <w:rPr>
      <w:rFonts w:ascii="宋体" w:hAnsi="宋体"/>
      <w:sz w:val="28"/>
      <w:szCs w:val="24"/>
    </w:rPr>
  </w:style>
  <w:style w:type="paragraph" w:styleId="39">
    <w:name w:val="Balloon Text"/>
    <w:basedOn w:val="1"/>
    <w:link w:val="81"/>
    <w:unhideWhenUsed/>
    <w:qFormat/>
    <w:uiPriority w:val="99"/>
    <w:rPr>
      <w:sz w:val="18"/>
      <w:szCs w:val="18"/>
    </w:rPr>
  </w:style>
  <w:style w:type="paragraph" w:styleId="40">
    <w:name w:val="footer"/>
    <w:basedOn w:val="1"/>
    <w:link w:val="79"/>
    <w:unhideWhenUsed/>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szCs w:val="20"/>
    </w:rPr>
  </w:style>
  <w:style w:type="paragraph" w:styleId="42">
    <w:name w:val="header"/>
    <w:basedOn w:val="1"/>
    <w:link w:val="78"/>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tabs>
        <w:tab w:val="right" w:leader="dot" w:pos="8505"/>
      </w:tabs>
      <w:ind w:left="210" w:leftChars="100"/>
      <w:jc w:val="center"/>
    </w:pPr>
    <w:rPr>
      <w:rFonts w:ascii="Times New Roman" w:hAnsi="Times New Roman" w:eastAsia="黑体"/>
      <w:b/>
      <w:bCs/>
      <w:kern w:val="44"/>
      <w:szCs w:val="21"/>
    </w:rPr>
  </w:style>
  <w:style w:type="paragraph" w:styleId="44">
    <w:name w:val="toc 4"/>
    <w:basedOn w:val="1"/>
    <w:next w:val="1"/>
    <w:qFormat/>
    <w:uiPriority w:val="39"/>
    <w:pPr>
      <w:ind w:left="400" w:leftChars="400"/>
    </w:pPr>
    <w:rPr>
      <w:rFonts w:ascii="Times New Roman" w:hAnsi="Times New Roman" w:eastAsia="黑体"/>
      <w:szCs w:val="24"/>
    </w:rPr>
  </w:style>
  <w:style w:type="paragraph" w:styleId="45">
    <w:name w:val="Subtitle"/>
    <w:basedOn w:val="46"/>
    <w:next w:val="1"/>
    <w:link w:val="192"/>
    <w:qFormat/>
    <w:uiPriority w:val="99"/>
    <w:pPr>
      <w:widowControl/>
      <w:spacing w:before="0" w:after="1200"/>
      <w:jc w:val="left"/>
      <w:outlineLvl w:val="9"/>
    </w:pPr>
    <w:rPr>
      <w:rFonts w:ascii="Calibri" w:hAnsi="Calibri" w:eastAsia="黑体"/>
      <w:b w:val="0"/>
      <w:color w:val="92D400"/>
      <w:sz w:val="72"/>
    </w:rPr>
  </w:style>
  <w:style w:type="paragraph" w:styleId="46">
    <w:name w:val="Title"/>
    <w:basedOn w:val="1"/>
    <w:link w:val="201"/>
    <w:qFormat/>
    <w:uiPriority w:val="99"/>
    <w:pPr>
      <w:spacing w:before="240" w:after="60"/>
      <w:jc w:val="center"/>
      <w:outlineLvl w:val="0"/>
    </w:pPr>
    <w:rPr>
      <w:rFonts w:ascii="Arial" w:hAnsi="Arial"/>
      <w:b/>
      <w:kern w:val="0"/>
      <w:sz w:val="32"/>
      <w:szCs w:val="20"/>
    </w:rPr>
  </w:style>
  <w:style w:type="paragraph" w:styleId="47">
    <w:name w:val="List Number 5"/>
    <w:basedOn w:val="1"/>
    <w:qFormat/>
    <w:uiPriority w:val="99"/>
    <w:pPr>
      <w:tabs>
        <w:tab w:val="left" w:pos="1200"/>
        <w:tab w:val="left" w:pos="2040"/>
      </w:tabs>
      <w:ind w:left="2040" w:leftChars="800" w:hanging="360" w:hangingChars="200"/>
    </w:pPr>
    <w:rPr>
      <w:rFonts w:ascii="Times New Roman" w:hAnsi="Times New Roman"/>
      <w:szCs w:val="20"/>
    </w:rPr>
  </w:style>
  <w:style w:type="paragraph" w:styleId="48">
    <w:name w:val="List"/>
    <w:basedOn w:val="1"/>
    <w:qFormat/>
    <w:uiPriority w:val="99"/>
    <w:pPr>
      <w:ind w:left="420" w:hanging="420"/>
    </w:pPr>
    <w:rPr>
      <w:rFonts w:ascii="Times New Roman" w:hAnsi="Times New Roman"/>
      <w:szCs w:val="20"/>
    </w:rPr>
  </w:style>
  <w:style w:type="paragraph" w:styleId="49">
    <w:name w:val="footnote text"/>
    <w:basedOn w:val="1"/>
    <w:link w:val="98"/>
    <w:qFormat/>
    <w:uiPriority w:val="99"/>
    <w:pPr>
      <w:snapToGrid w:val="0"/>
      <w:jc w:val="left"/>
    </w:pPr>
    <w:rPr>
      <w:rFonts w:ascii="Times New Roman" w:hAnsi="Times New Roman"/>
      <w:sz w:val="18"/>
      <w:szCs w:val="18"/>
    </w:rPr>
  </w:style>
  <w:style w:type="paragraph" w:styleId="50">
    <w:name w:val="toc 6"/>
    <w:basedOn w:val="1"/>
    <w:next w:val="1"/>
    <w:qFormat/>
    <w:uiPriority w:val="39"/>
    <w:pPr>
      <w:ind w:left="2100" w:leftChars="1000"/>
    </w:pPr>
    <w:rPr>
      <w:rFonts w:ascii="Times New Roman" w:hAnsi="Times New Roman" w:eastAsia="黑体"/>
      <w:szCs w:val="24"/>
    </w:rPr>
  </w:style>
  <w:style w:type="paragraph" w:styleId="51">
    <w:name w:val="Body Text Indent 3"/>
    <w:basedOn w:val="1"/>
    <w:link w:val="96"/>
    <w:qFormat/>
    <w:uiPriority w:val="99"/>
    <w:pPr>
      <w:spacing w:after="120"/>
      <w:ind w:left="420" w:leftChars="200"/>
    </w:pPr>
    <w:rPr>
      <w:rFonts w:ascii="Times New Roman" w:hAnsi="Times New Roman"/>
      <w:sz w:val="16"/>
      <w:szCs w:val="16"/>
    </w:rPr>
  </w:style>
  <w:style w:type="paragraph" w:styleId="52">
    <w:name w:val="toc 2"/>
    <w:basedOn w:val="1"/>
    <w:next w:val="1"/>
    <w:qFormat/>
    <w:uiPriority w:val="39"/>
    <w:pPr>
      <w:tabs>
        <w:tab w:val="right" w:leader="dot" w:pos="8505"/>
      </w:tabs>
      <w:ind w:firstLine="810" w:firstLineChars="400"/>
    </w:pPr>
    <w:rPr>
      <w:rFonts w:ascii="黑体" w:hAnsi="黑体" w:eastAsia="黑体"/>
      <w:bCs/>
      <w:w w:val="96"/>
      <w:szCs w:val="21"/>
    </w:rPr>
  </w:style>
  <w:style w:type="paragraph" w:styleId="53">
    <w:name w:val="toc 9"/>
    <w:basedOn w:val="1"/>
    <w:next w:val="1"/>
    <w:qFormat/>
    <w:uiPriority w:val="39"/>
    <w:pPr>
      <w:ind w:left="3360" w:leftChars="1600"/>
    </w:pPr>
    <w:rPr>
      <w:rFonts w:ascii="Times New Roman" w:hAnsi="Times New Roman"/>
      <w:szCs w:val="24"/>
    </w:rPr>
  </w:style>
  <w:style w:type="paragraph" w:styleId="54">
    <w:name w:val="Body Text 2"/>
    <w:basedOn w:val="1"/>
    <w:link w:val="120"/>
    <w:qFormat/>
    <w:uiPriority w:val="99"/>
    <w:pPr>
      <w:spacing w:before="60" w:line="560" w:lineRule="exact"/>
      <w:jc w:val="center"/>
    </w:pPr>
    <w:rPr>
      <w:rFonts w:ascii="Times New Roman" w:hAnsi="Times New Roman" w:eastAsia="方正小标宋简体"/>
      <w:sz w:val="44"/>
      <w:szCs w:val="20"/>
    </w:rPr>
  </w:style>
  <w:style w:type="paragraph" w:styleId="55">
    <w:name w:val="HTML Preformatted"/>
    <w:basedOn w:val="1"/>
    <w:link w:val="2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qFormat/>
    <w:uiPriority w:val="99"/>
    <w:rPr>
      <w:rFonts w:ascii="Times New Roman" w:hAnsi="Times New Roman"/>
      <w:szCs w:val="24"/>
    </w:rPr>
  </w:style>
  <w:style w:type="paragraph" w:styleId="58">
    <w:name w:val="annotation subject"/>
    <w:basedOn w:val="21"/>
    <w:next w:val="21"/>
    <w:link w:val="158"/>
    <w:qFormat/>
    <w:uiPriority w:val="99"/>
    <w:rPr>
      <w:b/>
      <w:bCs/>
    </w:rPr>
  </w:style>
  <w:style w:type="table" w:styleId="60">
    <w:name w:val="Table Grid"/>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Professional"/>
    <w:basedOn w:val="59"/>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table" w:styleId="63">
    <w:name w:val="Medium Shading 1 Accent 1"/>
    <w:basedOn w:val="59"/>
    <w:qFormat/>
    <w:uiPriority w:val="1"/>
    <w:rPr>
      <w:sz w:val="22"/>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64">
    <w:name w:val="Medium Grid 2 Accent 2"/>
    <w:basedOn w:val="59"/>
    <w:qFormat/>
    <w:uiPriority w:val="0"/>
    <w:rPr>
      <w:rFonts w:eastAsia="黑体"/>
      <w:color w:val="00A1DE"/>
      <w:kern w:val="2"/>
      <w:sz w:val="32"/>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65">
    <w:name w:val="Medium Grid 3 Accent 2"/>
    <w:basedOn w:val="59"/>
    <w:qFormat/>
    <w:uiPriority w:val="0"/>
    <w:rPr>
      <w:rFonts w:eastAsia="黑体"/>
      <w:color w:val="3C8A2E"/>
      <w:kern w:val="2"/>
      <w:sz w:val="32"/>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character" w:styleId="67">
    <w:name w:val="Strong"/>
    <w:qFormat/>
    <w:uiPriority w:val="0"/>
    <w:rPr>
      <w:b/>
      <w:bCs/>
    </w:rPr>
  </w:style>
  <w:style w:type="character" w:styleId="68">
    <w:name w:val="endnote reference"/>
    <w:unhideWhenUsed/>
    <w:qFormat/>
    <w:uiPriority w:val="99"/>
    <w:rPr>
      <w:vertAlign w:val="superscript"/>
    </w:rPr>
  </w:style>
  <w:style w:type="character" w:styleId="69">
    <w:name w:val="page number"/>
    <w:qFormat/>
    <w:uiPriority w:val="0"/>
  </w:style>
  <w:style w:type="character" w:styleId="70">
    <w:name w:val="FollowedHyperlink"/>
    <w:qFormat/>
    <w:uiPriority w:val="0"/>
    <w:rPr>
      <w:color w:val="444444"/>
      <w:u w:val="single"/>
    </w:rPr>
  </w:style>
  <w:style w:type="character" w:styleId="71">
    <w:name w:val="Hyperlink"/>
    <w:unhideWhenUsed/>
    <w:qFormat/>
    <w:uiPriority w:val="99"/>
    <w:rPr>
      <w:color w:val="0000FF"/>
      <w:u w:val="single"/>
    </w:rPr>
  </w:style>
  <w:style w:type="character" w:styleId="72">
    <w:name w:val="annotation reference"/>
    <w:unhideWhenUsed/>
    <w:qFormat/>
    <w:uiPriority w:val="99"/>
    <w:rPr>
      <w:sz w:val="21"/>
      <w:szCs w:val="21"/>
    </w:rPr>
  </w:style>
  <w:style w:type="character" w:styleId="73">
    <w:name w:val="footnote reference"/>
    <w:qFormat/>
    <w:uiPriority w:val="0"/>
    <w:rPr>
      <w:vertAlign w:val="superscript"/>
    </w:rPr>
  </w:style>
  <w:style w:type="character" w:customStyle="1" w:styleId="74">
    <w:name w:val="标题 1 Char"/>
    <w:link w:val="3"/>
    <w:qFormat/>
    <w:uiPriority w:val="0"/>
    <w:rPr>
      <w:b/>
      <w:bCs/>
      <w:kern w:val="44"/>
      <w:sz w:val="44"/>
      <w:szCs w:val="44"/>
    </w:rPr>
  </w:style>
  <w:style w:type="character" w:customStyle="1" w:styleId="75">
    <w:name w:val="标题 2 Char"/>
    <w:link w:val="4"/>
    <w:qFormat/>
    <w:uiPriority w:val="0"/>
    <w:rPr>
      <w:rFonts w:ascii="宋体" w:hAnsi="宋体" w:eastAsia="宋体" w:cs="宋体"/>
      <w:b/>
      <w:bCs/>
      <w:kern w:val="0"/>
      <w:sz w:val="36"/>
      <w:szCs w:val="36"/>
    </w:rPr>
  </w:style>
  <w:style w:type="character" w:customStyle="1" w:styleId="76">
    <w:name w:val="标题 3 Char"/>
    <w:link w:val="5"/>
    <w:qFormat/>
    <w:uiPriority w:val="0"/>
    <w:rPr>
      <w:rFonts w:ascii="Times New Roman" w:hAnsi="Times New Roman"/>
      <w:b/>
      <w:bCs/>
      <w:kern w:val="2"/>
      <w:sz w:val="32"/>
      <w:szCs w:val="32"/>
    </w:rPr>
  </w:style>
  <w:style w:type="character" w:customStyle="1" w:styleId="77">
    <w:name w:val="js_output_apphide"/>
    <w:qFormat/>
    <w:uiPriority w:val="0"/>
  </w:style>
  <w:style w:type="character" w:customStyle="1" w:styleId="78">
    <w:name w:val="页眉 Char"/>
    <w:link w:val="42"/>
    <w:qFormat/>
    <w:uiPriority w:val="99"/>
    <w:rPr>
      <w:kern w:val="2"/>
      <w:sz w:val="18"/>
      <w:szCs w:val="18"/>
    </w:rPr>
  </w:style>
  <w:style w:type="character" w:customStyle="1" w:styleId="79">
    <w:name w:val="页脚 Char"/>
    <w:link w:val="40"/>
    <w:qFormat/>
    <w:uiPriority w:val="99"/>
    <w:rPr>
      <w:kern w:val="2"/>
      <w:sz w:val="18"/>
      <w:szCs w:val="18"/>
    </w:rPr>
  </w:style>
  <w:style w:type="character" w:customStyle="1" w:styleId="80">
    <w:name w:val="批注文字 Char"/>
    <w:link w:val="21"/>
    <w:qFormat/>
    <w:uiPriority w:val="99"/>
    <w:rPr>
      <w:rFonts w:ascii="Times New Roman" w:hAnsi="Times New Roman"/>
      <w:kern w:val="2"/>
      <w:sz w:val="21"/>
      <w:szCs w:val="24"/>
    </w:rPr>
  </w:style>
  <w:style w:type="character" w:customStyle="1" w:styleId="81">
    <w:name w:val="批注框文本 Char"/>
    <w:link w:val="39"/>
    <w:qFormat/>
    <w:uiPriority w:val="99"/>
    <w:rPr>
      <w:kern w:val="2"/>
      <w:sz w:val="18"/>
      <w:szCs w:val="18"/>
    </w:rPr>
  </w:style>
  <w:style w:type="paragraph" w:customStyle="1" w:styleId="82">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3">
    <w:name w:val="标题 4 Char"/>
    <w:link w:val="6"/>
    <w:qFormat/>
    <w:uiPriority w:val="0"/>
    <w:rPr>
      <w:rFonts w:ascii="黑体" w:hAnsi="黑体" w:eastAsia="黑体"/>
      <w:b/>
      <w:bCs/>
      <w:color w:val="000000"/>
      <w:kern w:val="2"/>
      <w:sz w:val="28"/>
      <w:szCs w:val="28"/>
    </w:rPr>
  </w:style>
  <w:style w:type="character" w:customStyle="1" w:styleId="84">
    <w:name w:val="标题 5 Char"/>
    <w:link w:val="7"/>
    <w:qFormat/>
    <w:uiPriority w:val="0"/>
    <w:rPr>
      <w:rFonts w:ascii="Arial" w:hAnsi="Arial" w:eastAsia="黑体"/>
      <w:b/>
      <w:color w:val="92D400"/>
      <w:kern w:val="2"/>
      <w:sz w:val="24"/>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99"/>
    <w:rPr>
      <w:rFonts w:ascii="Arial" w:hAnsi="Arial" w:eastAsia="黑体"/>
      <w:b/>
      <w:color w:val="C9DD03"/>
      <w:kern w:val="2"/>
      <w:sz w:val="24"/>
    </w:rPr>
  </w:style>
  <w:style w:type="character" w:customStyle="1" w:styleId="87">
    <w:name w:val="标题 8 Char"/>
    <w:link w:val="10"/>
    <w:qFormat/>
    <w:uiPriority w:val="99"/>
    <w:rPr>
      <w:rFonts w:ascii="Arial" w:hAnsi="Arial" w:eastAsia="黑体"/>
      <w:b/>
      <w:i/>
      <w:kern w:val="2"/>
      <w:sz w:val="24"/>
    </w:rPr>
  </w:style>
  <w:style w:type="character" w:customStyle="1" w:styleId="88">
    <w:name w:val="标题 9 Char"/>
    <w:link w:val="11"/>
    <w:qFormat/>
    <w:uiPriority w:val="99"/>
    <w:rPr>
      <w:rFonts w:ascii="Arial" w:hAnsi="Arial" w:eastAsia="黑体"/>
      <w:i/>
      <w:kern w:val="2"/>
      <w:sz w:val="24"/>
    </w:rPr>
  </w:style>
  <w:style w:type="character" w:customStyle="1" w:styleId="89">
    <w:name w:val="正文文本缩进 2 Char"/>
    <w:link w:val="37"/>
    <w:qFormat/>
    <w:uiPriority w:val="99"/>
    <w:rPr>
      <w:rFonts w:ascii="仿宋_GB2312" w:hAnsi="宋体" w:eastAsia="仿宋_GB2312"/>
      <w:kern w:val="2"/>
      <w:sz w:val="28"/>
      <w:szCs w:val="24"/>
    </w:rPr>
  </w:style>
  <w:style w:type="character" w:customStyle="1" w:styleId="90">
    <w:name w:val="title31"/>
    <w:qFormat/>
    <w:uiPriority w:val="0"/>
    <w:rPr>
      <w:b/>
      <w:bCs/>
      <w:sz w:val="21"/>
      <w:szCs w:val="21"/>
    </w:rPr>
  </w:style>
  <w:style w:type="paragraph" w:customStyle="1" w:styleId="91">
    <w:name w:val="font5"/>
    <w:basedOn w:val="1"/>
    <w:qFormat/>
    <w:uiPriority w:val="99"/>
    <w:pPr>
      <w:widowControl/>
      <w:spacing w:before="100" w:beforeAutospacing="1" w:after="100" w:afterAutospacing="1"/>
      <w:jc w:val="left"/>
    </w:pPr>
    <w:rPr>
      <w:rFonts w:hint="eastAsia" w:ascii="宋体" w:hAnsi="宋体" w:cs="Arial Unicode MS"/>
      <w:kern w:val="0"/>
      <w:sz w:val="18"/>
      <w:szCs w:val="18"/>
    </w:rPr>
  </w:style>
  <w:style w:type="paragraph" w:customStyle="1" w:styleId="9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93">
    <w:name w:val="正文文本缩进 Char"/>
    <w:link w:val="26"/>
    <w:qFormat/>
    <w:uiPriority w:val="99"/>
    <w:rPr>
      <w:rFonts w:ascii="Times New Roman" w:hAnsi="Times New Roman"/>
      <w:kern w:val="2"/>
      <w:sz w:val="21"/>
      <w:szCs w:val="24"/>
    </w:rPr>
  </w:style>
  <w:style w:type="character" w:customStyle="1" w:styleId="94">
    <w:name w:val="title3"/>
    <w:qFormat/>
    <w:uiPriority w:val="0"/>
  </w:style>
  <w:style w:type="character" w:customStyle="1" w:styleId="95">
    <w:name w:val="link11"/>
    <w:qFormat/>
    <w:uiPriority w:val="0"/>
    <w:rPr>
      <w:color w:val="83838D"/>
      <w:u w:val="none"/>
    </w:rPr>
  </w:style>
  <w:style w:type="character" w:customStyle="1" w:styleId="96">
    <w:name w:val="正文文本缩进 3 Char"/>
    <w:link w:val="51"/>
    <w:qFormat/>
    <w:uiPriority w:val="99"/>
    <w:rPr>
      <w:rFonts w:ascii="Times New Roman" w:hAnsi="Times New Roman"/>
      <w:kern w:val="2"/>
      <w:sz w:val="16"/>
      <w:szCs w:val="16"/>
    </w:rPr>
  </w:style>
  <w:style w:type="character" w:customStyle="1" w:styleId="97">
    <w:name w:val="纯文本 Char"/>
    <w:link w:val="32"/>
    <w:qFormat/>
    <w:uiPriority w:val="99"/>
    <w:rPr>
      <w:rFonts w:ascii="宋体" w:hAnsi="Courier New"/>
      <w:kern w:val="2"/>
      <w:sz w:val="21"/>
    </w:rPr>
  </w:style>
  <w:style w:type="character" w:customStyle="1" w:styleId="98">
    <w:name w:val="脚注文本 Char"/>
    <w:link w:val="49"/>
    <w:qFormat/>
    <w:uiPriority w:val="99"/>
    <w:rPr>
      <w:rFonts w:ascii="Times New Roman" w:hAnsi="Times New Roman"/>
      <w:kern w:val="2"/>
      <w:sz w:val="18"/>
      <w:szCs w:val="18"/>
    </w:rPr>
  </w:style>
  <w:style w:type="paragraph" w:customStyle="1" w:styleId="99">
    <w:name w:val="tableline"/>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00">
    <w:name w:val="maintitle"/>
    <w:basedOn w:val="1"/>
    <w:qFormat/>
    <w:uiPriority w:val="99"/>
    <w:pPr>
      <w:widowControl/>
      <w:spacing w:before="100" w:beforeAutospacing="1" w:after="100" w:afterAutospacing="1"/>
      <w:jc w:val="left"/>
    </w:pPr>
    <w:rPr>
      <w:rFonts w:ascii="宋体" w:hAnsi="宋体" w:cs="宋体"/>
      <w:color w:val="222222"/>
      <w:kern w:val="0"/>
      <w:sz w:val="15"/>
      <w:szCs w:val="15"/>
    </w:rPr>
  </w:style>
  <w:style w:type="paragraph" w:customStyle="1" w:styleId="101">
    <w:name w:val="maincontents"/>
    <w:basedOn w:val="1"/>
    <w:qFormat/>
    <w:uiPriority w:val="99"/>
    <w:pPr>
      <w:widowControl/>
      <w:spacing w:before="100" w:beforeAutospacing="1" w:after="100" w:afterAutospacing="1" w:line="336" w:lineRule="auto"/>
      <w:jc w:val="left"/>
    </w:pPr>
    <w:rPr>
      <w:rFonts w:ascii="宋体" w:hAnsi="宋体" w:cs="宋体"/>
      <w:color w:val="222222"/>
      <w:kern w:val="0"/>
      <w:sz w:val="18"/>
      <w:szCs w:val="18"/>
    </w:rPr>
  </w:style>
  <w:style w:type="paragraph" w:customStyle="1" w:styleId="102">
    <w:name w:val="maincontentb"/>
    <w:basedOn w:val="1"/>
    <w:qFormat/>
    <w:uiPriority w:val="99"/>
    <w:pPr>
      <w:widowControl/>
      <w:spacing w:before="100" w:beforeAutospacing="1" w:after="100" w:afterAutospacing="1" w:line="336" w:lineRule="auto"/>
      <w:jc w:val="left"/>
    </w:pPr>
    <w:rPr>
      <w:rFonts w:ascii="宋体" w:hAnsi="宋体" w:cs="宋体"/>
      <w:color w:val="222222"/>
      <w:kern w:val="0"/>
      <w:sz w:val="22"/>
    </w:rPr>
  </w:style>
  <w:style w:type="paragraph" w:customStyle="1" w:styleId="103">
    <w:name w:val="mainmore"/>
    <w:basedOn w:val="1"/>
    <w:qFormat/>
    <w:uiPriority w:val="99"/>
    <w:pPr>
      <w:widowControl/>
      <w:spacing w:before="100" w:beforeAutospacing="1" w:after="100" w:afterAutospacing="1"/>
      <w:jc w:val="left"/>
    </w:pPr>
    <w:rPr>
      <w:rFonts w:ascii="宋体" w:hAnsi="宋体" w:cs="宋体"/>
      <w:color w:val="222222"/>
      <w:kern w:val="0"/>
      <w:sz w:val="18"/>
      <w:szCs w:val="18"/>
    </w:rPr>
  </w:style>
  <w:style w:type="paragraph" w:customStyle="1" w:styleId="104">
    <w:name w:val="bottom"/>
    <w:basedOn w:val="1"/>
    <w:qFormat/>
    <w:uiPriority w:val="99"/>
    <w:pPr>
      <w:widowControl/>
      <w:spacing w:before="100" w:beforeAutospacing="1" w:after="100" w:afterAutospacing="1"/>
      <w:jc w:val="left"/>
    </w:pPr>
    <w:rPr>
      <w:rFonts w:ascii="宋体" w:hAnsi="宋体" w:cs="宋体"/>
      <w:color w:val="FFFFFF"/>
      <w:kern w:val="0"/>
      <w:sz w:val="18"/>
      <w:szCs w:val="18"/>
    </w:rPr>
  </w:style>
  <w:style w:type="paragraph" w:customStyle="1" w:styleId="105">
    <w:name w:val="readnewstitle"/>
    <w:basedOn w:val="1"/>
    <w:qFormat/>
    <w:uiPriority w:val="99"/>
    <w:pPr>
      <w:widowControl/>
      <w:spacing w:before="100" w:beforeAutospacing="1" w:after="100" w:afterAutospacing="1" w:line="360" w:lineRule="auto"/>
      <w:jc w:val="left"/>
    </w:pPr>
    <w:rPr>
      <w:rFonts w:ascii="宋体" w:hAnsi="宋体" w:cs="宋体"/>
      <w:color w:val="000000"/>
      <w:kern w:val="0"/>
      <w:sz w:val="27"/>
      <w:szCs w:val="27"/>
    </w:rPr>
  </w:style>
  <w:style w:type="paragraph" w:customStyle="1" w:styleId="106">
    <w:name w:val="newsreadme"/>
    <w:basedOn w:val="1"/>
    <w:qFormat/>
    <w:uiPriority w:val="99"/>
    <w:pPr>
      <w:widowControl/>
      <w:spacing w:before="100" w:beforeAutospacing="1" w:after="100" w:afterAutospacing="1" w:line="280" w:lineRule="atLeast"/>
      <w:jc w:val="left"/>
    </w:pPr>
    <w:rPr>
      <w:rFonts w:ascii="宋体" w:hAnsi="宋体" w:cs="宋体"/>
      <w:color w:val="9E9E8A"/>
      <w:kern w:val="0"/>
      <w:sz w:val="18"/>
      <w:szCs w:val="18"/>
    </w:rPr>
  </w:style>
  <w:style w:type="paragraph" w:customStyle="1" w:styleId="107">
    <w:name w:val="news"/>
    <w:basedOn w:val="1"/>
    <w:qFormat/>
    <w:uiPriority w:val="99"/>
    <w:pPr>
      <w:widowControl/>
      <w:spacing w:before="100" w:beforeAutospacing="1" w:after="100" w:afterAutospacing="1" w:line="320" w:lineRule="atLeast"/>
      <w:jc w:val="left"/>
    </w:pPr>
    <w:rPr>
      <w:rFonts w:ascii="宋体" w:hAnsi="宋体" w:cs="宋体"/>
      <w:color w:val="222222"/>
      <w:kern w:val="0"/>
      <w:sz w:val="22"/>
    </w:rPr>
  </w:style>
  <w:style w:type="paragraph" w:customStyle="1" w:styleId="108">
    <w:name w:val="newspage"/>
    <w:basedOn w:val="1"/>
    <w:qFormat/>
    <w:uiPriority w:val="99"/>
    <w:pPr>
      <w:widowControl/>
      <w:spacing w:before="100" w:beforeAutospacing="1" w:after="100" w:afterAutospacing="1"/>
      <w:jc w:val="left"/>
    </w:pPr>
    <w:rPr>
      <w:rFonts w:ascii="宋体" w:hAnsi="宋体" w:cs="宋体"/>
      <w:color w:val="222222"/>
      <w:kern w:val="0"/>
      <w:sz w:val="18"/>
      <w:szCs w:val="18"/>
    </w:rPr>
  </w:style>
  <w:style w:type="paragraph" w:customStyle="1" w:styleId="109">
    <w:name w:val="titlemore"/>
    <w:basedOn w:val="1"/>
    <w:qFormat/>
    <w:uiPriority w:val="99"/>
    <w:pPr>
      <w:widowControl/>
      <w:spacing w:before="100" w:beforeAutospacing="1" w:after="100" w:afterAutospacing="1"/>
      <w:jc w:val="left"/>
    </w:pPr>
    <w:rPr>
      <w:rFonts w:ascii="宋体" w:hAnsi="宋体" w:cs="宋体"/>
      <w:color w:val="9E9E8A"/>
      <w:kern w:val="0"/>
      <w:sz w:val="18"/>
      <w:szCs w:val="18"/>
    </w:rPr>
  </w:style>
  <w:style w:type="paragraph" w:customStyle="1" w:styleId="110">
    <w:name w:val="noline"/>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11">
    <w:name w:val="z-窗体顶端1"/>
    <w:basedOn w:val="1"/>
    <w:next w:val="1"/>
    <w:link w:val="112"/>
    <w:qFormat/>
    <w:uiPriority w:val="0"/>
    <w:pPr>
      <w:widowControl/>
      <w:pBdr>
        <w:bottom w:val="single" w:color="auto" w:sz="6" w:space="1"/>
      </w:pBdr>
      <w:jc w:val="center"/>
    </w:pPr>
    <w:rPr>
      <w:rFonts w:ascii="Arial" w:hAnsi="Arial" w:cs="Arial"/>
      <w:vanish/>
      <w:color w:val="000000"/>
      <w:kern w:val="0"/>
      <w:sz w:val="16"/>
      <w:szCs w:val="16"/>
    </w:rPr>
  </w:style>
  <w:style w:type="character" w:customStyle="1" w:styleId="112">
    <w:name w:val="z-窗体顶端 Char"/>
    <w:link w:val="111"/>
    <w:qFormat/>
    <w:uiPriority w:val="0"/>
    <w:rPr>
      <w:rFonts w:ascii="Arial" w:hAnsi="Arial" w:cs="Arial"/>
      <w:vanish/>
      <w:color w:val="000000"/>
      <w:sz w:val="16"/>
      <w:szCs w:val="16"/>
    </w:rPr>
  </w:style>
  <w:style w:type="paragraph" w:customStyle="1" w:styleId="113">
    <w:name w:val="z-窗体底端1"/>
    <w:basedOn w:val="1"/>
    <w:next w:val="1"/>
    <w:link w:val="114"/>
    <w:qFormat/>
    <w:uiPriority w:val="0"/>
    <w:pPr>
      <w:widowControl/>
      <w:pBdr>
        <w:top w:val="single" w:color="auto" w:sz="6" w:space="1"/>
      </w:pBdr>
      <w:jc w:val="center"/>
    </w:pPr>
    <w:rPr>
      <w:rFonts w:ascii="Arial" w:hAnsi="Arial" w:cs="Arial"/>
      <w:vanish/>
      <w:color w:val="000000"/>
      <w:kern w:val="0"/>
      <w:sz w:val="16"/>
      <w:szCs w:val="16"/>
    </w:rPr>
  </w:style>
  <w:style w:type="character" w:customStyle="1" w:styleId="114">
    <w:name w:val="z-窗体底端 Char"/>
    <w:link w:val="113"/>
    <w:qFormat/>
    <w:uiPriority w:val="0"/>
    <w:rPr>
      <w:rFonts w:ascii="Arial" w:hAnsi="Arial" w:cs="Arial"/>
      <w:vanish/>
      <w:color w:val="000000"/>
      <w:sz w:val="16"/>
      <w:szCs w:val="16"/>
    </w:rPr>
  </w:style>
  <w:style w:type="character" w:customStyle="1" w:styleId="115">
    <w:name w:val="da"/>
    <w:qFormat/>
    <w:uiPriority w:val="0"/>
  </w:style>
  <w:style w:type="character" w:customStyle="1" w:styleId="116">
    <w:name w:val="正文文本 Char"/>
    <w:link w:val="25"/>
    <w:qFormat/>
    <w:uiPriority w:val="99"/>
    <w:rPr>
      <w:rFonts w:ascii="Times New Roman" w:hAnsi="Times New Roman"/>
      <w:kern w:val="2"/>
      <w:sz w:val="21"/>
      <w:szCs w:val="24"/>
    </w:rPr>
  </w:style>
  <w:style w:type="character" w:customStyle="1" w:styleId="117">
    <w:name w:val="txtcontent11"/>
    <w:qFormat/>
    <w:uiPriority w:val="0"/>
    <w:rPr>
      <w:rFonts w:hint="default" w:ascii="ˎ̥" w:hAnsi="ˎ̥"/>
      <w:color w:val="000000"/>
      <w:sz w:val="21"/>
      <w:szCs w:val="21"/>
    </w:rPr>
  </w:style>
  <w:style w:type="paragraph" w:customStyle="1" w:styleId="118">
    <w:name w:val="正文 + 左"/>
    <w:basedOn w:val="1"/>
    <w:qFormat/>
    <w:uiPriority w:val="99"/>
    <w:pPr>
      <w:spacing w:line="360" w:lineRule="auto"/>
      <w:jc w:val="left"/>
    </w:pPr>
    <w:rPr>
      <w:rFonts w:ascii="Times New Roman" w:hAnsi="Times New Roman"/>
      <w:szCs w:val="24"/>
    </w:rPr>
  </w:style>
  <w:style w:type="character" w:customStyle="1" w:styleId="119">
    <w:name w:val="日期 Char"/>
    <w:link w:val="36"/>
    <w:qFormat/>
    <w:uiPriority w:val="99"/>
    <w:rPr>
      <w:rFonts w:ascii="Times New Roman" w:hAnsi="Times New Roman"/>
      <w:kern w:val="2"/>
      <w:sz w:val="28"/>
    </w:rPr>
  </w:style>
  <w:style w:type="character" w:customStyle="1" w:styleId="120">
    <w:name w:val="正文文本 2 Char"/>
    <w:link w:val="54"/>
    <w:qFormat/>
    <w:uiPriority w:val="99"/>
    <w:rPr>
      <w:rFonts w:ascii="Times New Roman" w:hAnsi="Times New Roman" w:eastAsia="方正小标宋简体"/>
      <w:kern w:val="2"/>
      <w:sz w:val="44"/>
    </w:rPr>
  </w:style>
  <w:style w:type="character" w:customStyle="1" w:styleId="121">
    <w:name w:val="正文文本 3 Char"/>
    <w:link w:val="23"/>
    <w:qFormat/>
    <w:uiPriority w:val="99"/>
    <w:rPr>
      <w:rFonts w:ascii="Times New Roman" w:hAnsi="Times New Roman" w:eastAsia="方正楷体简体"/>
      <w:kern w:val="2"/>
      <w:sz w:val="24"/>
    </w:rPr>
  </w:style>
  <w:style w:type="character" w:customStyle="1" w:styleId="122">
    <w:name w:val="da1"/>
    <w:qFormat/>
    <w:uiPriority w:val="0"/>
    <w:rPr>
      <w:rFonts w:hint="default"/>
      <w:color w:val="000000"/>
      <w:spacing w:val="360"/>
      <w:sz w:val="21"/>
      <w:szCs w:val="21"/>
      <w:u w:val="none"/>
    </w:rPr>
  </w:style>
  <w:style w:type="character" w:customStyle="1" w:styleId="123">
    <w:name w:val="正文的样式 Char"/>
    <w:link w:val="124"/>
    <w:qFormat/>
    <w:locked/>
    <w:uiPriority w:val="0"/>
    <w:rPr>
      <w:rFonts w:ascii="宋体" w:hAnsi="宋体"/>
    </w:rPr>
  </w:style>
  <w:style w:type="paragraph" w:customStyle="1" w:styleId="124">
    <w:name w:val="正文的样式"/>
    <w:basedOn w:val="1"/>
    <w:link w:val="123"/>
    <w:qFormat/>
    <w:uiPriority w:val="0"/>
    <w:pPr>
      <w:spacing w:before="100" w:after="100"/>
    </w:pPr>
    <w:rPr>
      <w:rFonts w:ascii="宋体" w:hAnsi="宋体"/>
      <w:kern w:val="0"/>
      <w:sz w:val="20"/>
      <w:szCs w:val="20"/>
    </w:rPr>
  </w:style>
  <w:style w:type="character" w:customStyle="1" w:styleId="125">
    <w:name w:val="标题4的样式 Char"/>
    <w:link w:val="126"/>
    <w:qFormat/>
    <w:locked/>
    <w:uiPriority w:val="0"/>
    <w:rPr>
      <w:rFonts w:ascii="Arial" w:hAnsi="Arial" w:cs="Arial"/>
      <w:b/>
      <w:bCs/>
      <w:sz w:val="28"/>
      <w:szCs w:val="28"/>
    </w:rPr>
  </w:style>
  <w:style w:type="paragraph" w:customStyle="1" w:styleId="126">
    <w:name w:val="标题4的样式"/>
    <w:basedOn w:val="6"/>
    <w:link w:val="125"/>
    <w:qFormat/>
    <w:uiPriority w:val="0"/>
    <w:pPr>
      <w:spacing w:before="0" w:after="240" w:line="240" w:lineRule="auto"/>
      <w:jc w:val="left"/>
    </w:pPr>
    <w:rPr>
      <w:rFonts w:ascii="Arial" w:hAnsi="Arial" w:eastAsia="宋体" w:cs="Arial"/>
      <w:color w:val="auto"/>
      <w:kern w:val="0"/>
    </w:rPr>
  </w:style>
  <w:style w:type="character" w:customStyle="1" w:styleId="127">
    <w:name w:val="尾注文本 Char"/>
    <w:link w:val="38"/>
    <w:semiHidden/>
    <w:qFormat/>
    <w:uiPriority w:val="99"/>
    <w:rPr>
      <w:rFonts w:ascii="宋体" w:hAnsi="宋体"/>
      <w:kern w:val="2"/>
      <w:sz w:val="28"/>
      <w:szCs w:val="24"/>
    </w:rPr>
  </w:style>
  <w:style w:type="paragraph" w:customStyle="1" w:styleId="128">
    <w:name w:val="样式 标题 2 + 段前: 0 磅 段后: 0 磅 行距: 固定值 18 磅"/>
    <w:basedOn w:val="4"/>
    <w:qFormat/>
    <w:uiPriority w:val="99"/>
    <w:pPr>
      <w:widowControl w:val="0"/>
      <w:snapToGrid w:val="0"/>
      <w:spacing w:before="312" w:beforeLines="100" w:beforeAutospacing="0" w:after="312" w:afterLines="100" w:afterAutospacing="0" w:line="276" w:lineRule="auto"/>
      <w:ind w:firstLine="1928"/>
      <w:jc w:val="center"/>
      <w:outlineLvl w:val="9"/>
    </w:pPr>
    <w:rPr>
      <w:bCs w:val="0"/>
      <w:color w:val="000000"/>
      <w:kern w:val="2"/>
      <w:sz w:val="21"/>
      <w:szCs w:val="21"/>
    </w:rPr>
  </w:style>
  <w:style w:type="paragraph" w:customStyle="1" w:styleId="129">
    <w:name w:val="样式 标题 2 + 黑体 小五 段前: 0 磅 段后: 0 磅 行距: 固定值 18 磅"/>
    <w:basedOn w:val="4"/>
    <w:qFormat/>
    <w:uiPriority w:val="99"/>
    <w:pPr>
      <w:widowControl w:val="0"/>
      <w:snapToGrid w:val="0"/>
      <w:spacing w:before="0" w:beforeAutospacing="0" w:after="0" w:afterAutospacing="0" w:line="360" w:lineRule="exact"/>
      <w:ind w:firstLine="1068" w:firstLineChars="591"/>
      <w:jc w:val="center"/>
    </w:pPr>
    <w:rPr>
      <w:rFonts w:ascii="Times New Roman" w:eastAsia="仿宋"/>
      <w:bCs w:val="0"/>
      <w:color w:val="000000"/>
      <w:kern w:val="2"/>
      <w:sz w:val="48"/>
      <w:szCs w:val="20"/>
    </w:rPr>
  </w:style>
  <w:style w:type="paragraph" w:customStyle="1" w:styleId="130">
    <w:name w:val="样式 标题 2 + 小五"/>
    <w:basedOn w:val="4"/>
    <w:link w:val="131"/>
    <w:qFormat/>
    <w:uiPriority w:val="0"/>
    <w:pPr>
      <w:widowControl w:val="0"/>
      <w:snapToGrid w:val="0"/>
      <w:spacing w:before="516" w:beforeAutospacing="0" w:after="0" w:afterAutospacing="0" w:line="560" w:lineRule="exact"/>
      <w:jc w:val="center"/>
    </w:pPr>
    <w:rPr>
      <w:rFonts w:ascii="Times New Roman" w:hAnsi="Times New Roman" w:eastAsia="仿宋" w:cs="Times New Roman"/>
      <w:bCs w:val="0"/>
      <w:color w:val="000000"/>
      <w:kern w:val="2"/>
      <w:sz w:val="48"/>
      <w:szCs w:val="48"/>
    </w:rPr>
  </w:style>
  <w:style w:type="character" w:customStyle="1" w:styleId="131">
    <w:name w:val="样式 标题 2 + 小五 Char"/>
    <w:link w:val="130"/>
    <w:qFormat/>
    <w:uiPriority w:val="0"/>
    <w:rPr>
      <w:rFonts w:ascii="Times New Roman" w:hAnsi="Times New Roman" w:eastAsia="仿宋"/>
      <w:b/>
      <w:color w:val="000000"/>
      <w:kern w:val="2"/>
      <w:sz w:val="48"/>
      <w:szCs w:val="48"/>
    </w:rPr>
  </w:style>
  <w:style w:type="paragraph" w:customStyle="1" w:styleId="132">
    <w:name w:val="样式 标题 2 + (西文) 宋体 小五 黑色"/>
    <w:basedOn w:val="4"/>
    <w:link w:val="133"/>
    <w:qFormat/>
    <w:uiPriority w:val="0"/>
    <w:pPr>
      <w:widowControl w:val="0"/>
      <w:snapToGrid w:val="0"/>
      <w:spacing w:before="516" w:beforeAutospacing="0" w:after="0" w:afterAutospacing="0" w:line="560" w:lineRule="exact"/>
      <w:jc w:val="center"/>
    </w:pPr>
    <w:rPr>
      <w:rFonts w:eastAsia="仿宋" w:cs="Times New Roman"/>
      <w:bCs w:val="0"/>
      <w:color w:val="000000"/>
      <w:kern w:val="2"/>
      <w:sz w:val="48"/>
      <w:szCs w:val="48"/>
    </w:rPr>
  </w:style>
  <w:style w:type="character" w:customStyle="1" w:styleId="133">
    <w:name w:val="样式 标题 2 + (西文) 宋体 小五 黑色 Char"/>
    <w:link w:val="132"/>
    <w:qFormat/>
    <w:uiPriority w:val="0"/>
    <w:rPr>
      <w:rFonts w:ascii="宋体" w:hAnsi="宋体" w:eastAsia="仿宋"/>
      <w:b/>
      <w:color w:val="000000"/>
      <w:kern w:val="2"/>
      <w:sz w:val="48"/>
      <w:szCs w:val="48"/>
    </w:rPr>
  </w:style>
  <w:style w:type="paragraph" w:customStyle="1" w:styleId="134">
    <w:name w:val="样式 标题 2 + (西文) 宋体 小五 黑色1"/>
    <w:basedOn w:val="4"/>
    <w:link w:val="135"/>
    <w:qFormat/>
    <w:uiPriority w:val="0"/>
    <w:pPr>
      <w:widowControl w:val="0"/>
      <w:snapToGrid w:val="0"/>
      <w:spacing w:before="516" w:beforeAutospacing="0" w:after="0" w:afterAutospacing="0" w:line="560" w:lineRule="exact"/>
      <w:jc w:val="center"/>
    </w:pPr>
    <w:rPr>
      <w:rFonts w:eastAsia="仿宋" w:cs="Times New Roman"/>
      <w:bCs w:val="0"/>
      <w:color w:val="000000"/>
      <w:kern w:val="2"/>
      <w:sz w:val="48"/>
      <w:szCs w:val="48"/>
    </w:rPr>
  </w:style>
  <w:style w:type="character" w:customStyle="1" w:styleId="135">
    <w:name w:val="样式 标题 2 + (西文) 宋体 小五 黑色1 Char"/>
    <w:link w:val="134"/>
    <w:qFormat/>
    <w:uiPriority w:val="0"/>
    <w:rPr>
      <w:rFonts w:ascii="宋体" w:hAnsi="宋体" w:eastAsia="仿宋"/>
      <w:b/>
      <w:color w:val="000000"/>
      <w:kern w:val="2"/>
      <w:sz w:val="48"/>
      <w:szCs w:val="48"/>
    </w:rPr>
  </w:style>
  <w:style w:type="paragraph" w:customStyle="1" w:styleId="136">
    <w:name w:val="样式 标题 2 + 小五 黑色 行距: 固定值 18 磅"/>
    <w:basedOn w:val="4"/>
    <w:qFormat/>
    <w:uiPriority w:val="99"/>
    <w:pPr>
      <w:widowControl w:val="0"/>
      <w:snapToGrid w:val="0"/>
      <w:spacing w:before="516" w:beforeAutospacing="0" w:after="0" w:afterAutospacing="0" w:line="360" w:lineRule="exact"/>
      <w:ind w:firstLine="446" w:firstLineChars="247"/>
      <w:jc w:val="center"/>
    </w:pPr>
    <w:rPr>
      <w:rFonts w:ascii="Times New Roman" w:hAnsi="Times New Roman" w:eastAsia="仿宋"/>
      <w:bCs w:val="0"/>
      <w:color w:val="000000"/>
      <w:kern w:val="2"/>
      <w:sz w:val="48"/>
      <w:szCs w:val="20"/>
    </w:rPr>
  </w:style>
  <w:style w:type="paragraph" w:customStyle="1" w:styleId="137">
    <w:name w:val="样式 标题 2 + 小五 黑色 行距: 固定值 18 磅1"/>
    <w:basedOn w:val="4"/>
    <w:qFormat/>
    <w:uiPriority w:val="99"/>
    <w:pPr>
      <w:widowControl w:val="0"/>
      <w:snapToGrid w:val="0"/>
      <w:spacing w:before="516" w:beforeAutospacing="0" w:after="0" w:afterAutospacing="0" w:line="360" w:lineRule="exact"/>
      <w:ind w:firstLine="446" w:firstLineChars="247"/>
      <w:jc w:val="center"/>
    </w:pPr>
    <w:rPr>
      <w:rFonts w:ascii="Times New Roman" w:hAnsi="Times New Roman" w:eastAsia="仿宋"/>
      <w:bCs w:val="0"/>
      <w:color w:val="000000"/>
      <w:kern w:val="2"/>
      <w:sz w:val="48"/>
      <w:szCs w:val="20"/>
    </w:rPr>
  </w:style>
  <w:style w:type="paragraph" w:customStyle="1" w:styleId="138">
    <w:name w:val="样式1"/>
    <w:basedOn w:val="43"/>
    <w:qFormat/>
    <w:uiPriority w:val="99"/>
    <w:pPr>
      <w:spacing w:line="360" w:lineRule="exact"/>
    </w:pPr>
    <w:rPr>
      <w:rFonts w:ascii="黑体"/>
      <w:b w:val="0"/>
      <w:bCs w:val="0"/>
      <w:sz w:val="44"/>
      <w:szCs w:val="18"/>
    </w:rPr>
  </w:style>
  <w:style w:type="paragraph" w:customStyle="1" w:styleId="139">
    <w:name w:val="样式2"/>
    <w:basedOn w:val="43"/>
    <w:qFormat/>
    <w:uiPriority w:val="99"/>
    <w:pPr>
      <w:spacing w:line="360" w:lineRule="exact"/>
    </w:pPr>
    <w:rPr>
      <w:rFonts w:ascii="黑体"/>
      <w:b w:val="0"/>
      <w:sz w:val="44"/>
      <w:szCs w:val="18"/>
    </w:rPr>
  </w:style>
  <w:style w:type="paragraph" w:customStyle="1" w:styleId="140">
    <w:name w:val="样式3"/>
    <w:basedOn w:val="43"/>
    <w:qFormat/>
    <w:uiPriority w:val="99"/>
    <w:pPr>
      <w:spacing w:line="360" w:lineRule="exact"/>
    </w:pPr>
    <w:rPr>
      <w:sz w:val="32"/>
      <w:szCs w:val="18"/>
    </w:rPr>
  </w:style>
  <w:style w:type="paragraph" w:customStyle="1" w:styleId="141">
    <w:name w:val="样式4"/>
    <w:basedOn w:val="52"/>
    <w:qFormat/>
    <w:uiPriority w:val="99"/>
    <w:pPr>
      <w:spacing w:line="360" w:lineRule="exact"/>
    </w:pPr>
    <w:rPr>
      <w:sz w:val="32"/>
      <w:szCs w:val="18"/>
    </w:rPr>
  </w:style>
  <w:style w:type="paragraph" w:customStyle="1" w:styleId="142">
    <w:name w:val="样式5"/>
    <w:basedOn w:val="52"/>
    <w:qFormat/>
    <w:uiPriority w:val="99"/>
    <w:pPr>
      <w:spacing w:line="360" w:lineRule="exact"/>
    </w:pPr>
    <w:rPr>
      <w:sz w:val="32"/>
      <w:szCs w:val="18"/>
    </w:rPr>
  </w:style>
  <w:style w:type="paragraph" w:customStyle="1" w:styleId="143">
    <w:name w:val="样式6"/>
    <w:basedOn w:val="52"/>
    <w:qFormat/>
    <w:uiPriority w:val="99"/>
    <w:pPr>
      <w:spacing w:line="360" w:lineRule="exact"/>
    </w:pPr>
    <w:rPr>
      <w:sz w:val="32"/>
      <w:szCs w:val="18"/>
    </w:rPr>
  </w:style>
  <w:style w:type="paragraph" w:customStyle="1" w:styleId="144">
    <w:name w:val="样式7"/>
    <w:basedOn w:val="52"/>
    <w:qFormat/>
    <w:uiPriority w:val="99"/>
    <w:pPr>
      <w:spacing w:line="360" w:lineRule="exact"/>
    </w:pPr>
    <w:rPr>
      <w:sz w:val="32"/>
      <w:szCs w:val="18"/>
    </w:rPr>
  </w:style>
  <w:style w:type="paragraph" w:customStyle="1" w:styleId="145">
    <w:name w:val="样式8"/>
    <w:basedOn w:val="52"/>
    <w:qFormat/>
    <w:uiPriority w:val="99"/>
    <w:pPr>
      <w:spacing w:line="360" w:lineRule="exact"/>
    </w:pPr>
    <w:rPr>
      <w:sz w:val="32"/>
      <w:szCs w:val="18"/>
    </w:rPr>
  </w:style>
  <w:style w:type="paragraph" w:customStyle="1" w:styleId="146">
    <w:name w:val="样式9"/>
    <w:basedOn w:val="52"/>
    <w:qFormat/>
    <w:uiPriority w:val="99"/>
    <w:pPr>
      <w:spacing w:line="360" w:lineRule="exact"/>
    </w:pPr>
    <w:rPr>
      <w:sz w:val="32"/>
      <w:szCs w:val="18"/>
    </w:rPr>
  </w:style>
  <w:style w:type="paragraph" w:customStyle="1" w:styleId="147">
    <w:name w:val="样式10"/>
    <w:basedOn w:val="52"/>
    <w:qFormat/>
    <w:uiPriority w:val="99"/>
    <w:pPr>
      <w:spacing w:line="360" w:lineRule="exact"/>
    </w:pPr>
    <w:rPr>
      <w:sz w:val="32"/>
      <w:szCs w:val="18"/>
    </w:rPr>
  </w:style>
  <w:style w:type="paragraph" w:customStyle="1" w:styleId="148">
    <w:name w:val="样式11"/>
    <w:basedOn w:val="52"/>
    <w:qFormat/>
    <w:uiPriority w:val="99"/>
    <w:pPr>
      <w:spacing w:line="360" w:lineRule="exact"/>
    </w:pPr>
    <w:rPr>
      <w:sz w:val="32"/>
      <w:szCs w:val="18"/>
    </w:rPr>
  </w:style>
  <w:style w:type="paragraph" w:customStyle="1" w:styleId="149">
    <w:name w:val="样式12"/>
    <w:basedOn w:val="52"/>
    <w:qFormat/>
    <w:uiPriority w:val="99"/>
    <w:pPr>
      <w:spacing w:line="360" w:lineRule="exact"/>
    </w:pPr>
    <w:rPr>
      <w:sz w:val="32"/>
      <w:szCs w:val="18"/>
    </w:rPr>
  </w:style>
  <w:style w:type="paragraph" w:customStyle="1" w:styleId="150">
    <w:name w:val="样式13"/>
    <w:basedOn w:val="52"/>
    <w:qFormat/>
    <w:uiPriority w:val="99"/>
    <w:pPr>
      <w:spacing w:line="360" w:lineRule="exact"/>
    </w:pPr>
    <w:rPr>
      <w:sz w:val="32"/>
      <w:szCs w:val="18"/>
    </w:rPr>
  </w:style>
  <w:style w:type="paragraph" w:customStyle="1" w:styleId="151">
    <w:name w:val="样式14"/>
    <w:basedOn w:val="52"/>
    <w:qFormat/>
    <w:uiPriority w:val="99"/>
    <w:pPr>
      <w:spacing w:line="360" w:lineRule="exact"/>
    </w:pPr>
    <w:rPr>
      <w:sz w:val="32"/>
      <w:szCs w:val="18"/>
    </w:rPr>
  </w:style>
  <w:style w:type="paragraph" w:customStyle="1" w:styleId="152">
    <w:name w:val="样式15"/>
    <w:basedOn w:val="52"/>
    <w:qFormat/>
    <w:uiPriority w:val="99"/>
    <w:pPr>
      <w:spacing w:line="360" w:lineRule="exact"/>
    </w:pPr>
    <w:rPr>
      <w:sz w:val="32"/>
      <w:szCs w:val="18"/>
    </w:rPr>
  </w:style>
  <w:style w:type="paragraph" w:customStyle="1" w:styleId="153">
    <w:name w:val="样式 15"/>
    <w:basedOn w:val="52"/>
    <w:qFormat/>
    <w:uiPriority w:val="99"/>
    <w:pPr>
      <w:spacing w:line="360" w:lineRule="exact"/>
    </w:pPr>
    <w:rPr>
      <w:rFonts w:cs="宋体"/>
      <w:sz w:val="32"/>
      <w:szCs w:val="20"/>
    </w:rPr>
  </w:style>
  <w:style w:type="paragraph" w:customStyle="1" w:styleId="154">
    <w:name w:val="样式 目录 2 + 行距: 固定值 18 磅"/>
    <w:basedOn w:val="52"/>
    <w:next w:val="152"/>
    <w:qFormat/>
    <w:uiPriority w:val="99"/>
    <w:pPr>
      <w:spacing w:line="360" w:lineRule="exact"/>
    </w:pPr>
    <w:rPr>
      <w:rFonts w:cs="宋体"/>
      <w:szCs w:val="20"/>
    </w:rPr>
  </w:style>
  <w:style w:type="paragraph" w:customStyle="1" w:styleId="155">
    <w:name w:val="样式16"/>
    <w:basedOn w:val="52"/>
    <w:qFormat/>
    <w:uiPriority w:val="99"/>
    <w:pPr>
      <w:spacing w:line="360" w:lineRule="exact"/>
    </w:pPr>
    <w:rPr>
      <w:sz w:val="32"/>
      <w:szCs w:val="18"/>
    </w:rPr>
  </w:style>
  <w:style w:type="paragraph" w:customStyle="1" w:styleId="156">
    <w:name w:val="样式 目录 2 + 行距: 固定值 18 磅1"/>
    <w:basedOn w:val="52"/>
    <w:next w:val="155"/>
    <w:qFormat/>
    <w:uiPriority w:val="99"/>
    <w:pPr>
      <w:spacing w:line="360" w:lineRule="exact"/>
    </w:pPr>
    <w:rPr>
      <w:rFonts w:cs="宋体"/>
      <w:szCs w:val="20"/>
    </w:rPr>
  </w:style>
  <w:style w:type="paragraph" w:customStyle="1" w:styleId="157">
    <w:name w:val="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58">
    <w:name w:val="批注主题 Char"/>
    <w:link w:val="58"/>
    <w:qFormat/>
    <w:uiPriority w:val="99"/>
    <w:rPr>
      <w:rFonts w:ascii="Times New Roman" w:hAnsi="Times New Roman"/>
      <w:b/>
      <w:bCs/>
      <w:kern w:val="2"/>
      <w:sz w:val="21"/>
      <w:szCs w:val="24"/>
    </w:rPr>
  </w:style>
  <w:style w:type="character" w:customStyle="1" w:styleId="159">
    <w:name w:val="apple-style-span"/>
    <w:qFormat/>
    <w:uiPriority w:val="0"/>
  </w:style>
  <w:style w:type="character" w:customStyle="1" w:styleId="160">
    <w:name w:val="link1"/>
    <w:qFormat/>
    <w:uiPriority w:val="0"/>
  </w:style>
  <w:style w:type="character" w:customStyle="1" w:styleId="161">
    <w:name w:val="apple-converted-space"/>
    <w:qFormat/>
    <w:uiPriority w:val="0"/>
  </w:style>
  <w:style w:type="paragraph" w:customStyle="1" w:styleId="162">
    <w:name w:val="地址"/>
    <w:basedOn w:val="25"/>
    <w:qFormat/>
    <w:uiPriority w:val="99"/>
    <w:pPr>
      <w:keepLines/>
      <w:widowControl/>
      <w:overflowPunct w:val="0"/>
      <w:autoSpaceDE w:val="0"/>
      <w:autoSpaceDN w:val="0"/>
      <w:adjustRightInd w:val="0"/>
      <w:spacing w:after="0"/>
      <w:ind w:left="-1080" w:right="3960"/>
      <w:jc w:val="left"/>
    </w:pPr>
    <w:rPr>
      <w:kern w:val="0"/>
      <w:sz w:val="20"/>
      <w:szCs w:val="20"/>
      <w:lang w:bidi="he-IL"/>
    </w:rPr>
  </w:style>
  <w:style w:type="paragraph" w:customStyle="1" w:styleId="163">
    <w:name w:val="样式 小四 行距: 1.5 倍行距"/>
    <w:basedOn w:val="1"/>
    <w:qFormat/>
    <w:uiPriority w:val="99"/>
    <w:pPr>
      <w:spacing w:line="360" w:lineRule="auto"/>
      <w:ind w:firstLine="200" w:firstLineChars="200"/>
    </w:pPr>
    <w:rPr>
      <w:rFonts w:ascii="Times New Roman" w:hAnsi="Times New Roman"/>
      <w:sz w:val="24"/>
      <w:szCs w:val="20"/>
    </w:rPr>
  </w:style>
  <w:style w:type="paragraph" w:customStyle="1" w:styleId="164">
    <w:name w:val="样式 标题 3 + 四号 行距: 多倍行距 1.73 字行"/>
    <w:basedOn w:val="1"/>
    <w:qFormat/>
    <w:uiPriority w:val="99"/>
    <w:pPr>
      <w:numPr>
        <w:ilvl w:val="1"/>
        <w:numId w:val="1"/>
      </w:numPr>
    </w:pPr>
    <w:rPr>
      <w:rFonts w:ascii="Times New Roman" w:hAnsi="Times New Roman"/>
      <w:szCs w:val="20"/>
    </w:rPr>
  </w:style>
  <w:style w:type="paragraph" w:customStyle="1" w:styleId="165">
    <w:name w:val="xl24"/>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6">
    <w:name w:val="informal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7">
    <w:name w:val="informal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8">
    <w:name w:val="address"/>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69">
    <w:name w:val="md1"/>
    <w:qFormat/>
    <w:uiPriority w:val="0"/>
    <w:rPr>
      <w:sz w:val="22"/>
      <w:szCs w:val="22"/>
    </w:rPr>
  </w:style>
  <w:style w:type="paragraph" w:customStyle="1" w:styleId="170">
    <w:name w:val="目录标题"/>
    <w:basedOn w:val="3"/>
    <w:next w:val="1"/>
    <w:qFormat/>
    <w:uiPriority w:val="99"/>
    <w:pPr>
      <w:keepNext w:val="0"/>
      <w:keepLines w:val="0"/>
      <w:widowControl/>
      <w:snapToGrid w:val="0"/>
      <w:spacing w:before="480" w:after="0" w:line="276" w:lineRule="auto"/>
      <w:jc w:val="left"/>
      <w:outlineLvl w:val="9"/>
    </w:pPr>
    <w:rPr>
      <w:rFonts w:ascii="Cambria" w:hAnsi="Cambria" w:eastAsia="仿宋"/>
      <w:bCs w:val="0"/>
      <w:color w:val="365F91"/>
      <w:kern w:val="0"/>
      <w:sz w:val="28"/>
      <w:szCs w:val="28"/>
    </w:rPr>
  </w:style>
  <w:style w:type="paragraph" w:customStyle="1" w:styleId="171">
    <w:name w:val="样式17"/>
    <w:basedOn w:val="1"/>
    <w:qFormat/>
    <w:uiPriority w:val="99"/>
    <w:pPr>
      <w:spacing w:line="276" w:lineRule="auto"/>
      <w:ind w:firstLine="420" w:firstLineChars="200"/>
    </w:pPr>
    <w:rPr>
      <w:rFonts w:ascii="Times New Roman" w:hAnsi="宋体"/>
      <w:szCs w:val="21"/>
    </w:rPr>
  </w:style>
  <w:style w:type="character" w:customStyle="1" w:styleId="172">
    <w:name w:val="文档结构图 Char"/>
    <w:link w:val="19"/>
    <w:qFormat/>
    <w:uiPriority w:val="99"/>
    <w:rPr>
      <w:rFonts w:ascii="Times New Roman" w:hAnsi="Times New Roman"/>
      <w:kern w:val="2"/>
      <w:sz w:val="21"/>
      <w:szCs w:val="24"/>
      <w:shd w:val="clear" w:color="auto" w:fill="000080"/>
    </w:rPr>
  </w:style>
  <w:style w:type="paragraph" w:customStyle="1" w:styleId="173">
    <w:name w:val="xl6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7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7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7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7">
    <w:name w:val="xl7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9">
    <w:name w:val="xl7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0">
    <w:name w:val="xl73"/>
    <w:basedOn w:val="1"/>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81">
    <w:name w:val="xl7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2">
    <w:name w:val="xl7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3">
    <w:name w:val="xl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4">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5">
    <w:name w:val="xl78"/>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6">
    <w:name w:val="xl7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7">
    <w:name w:val="xl6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88">
    <w:name w:val="xl6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0"/>
      <w:szCs w:val="20"/>
    </w:rPr>
  </w:style>
  <w:style w:type="character" w:customStyle="1" w:styleId="189">
    <w:name w:val="正文文本 Char1"/>
    <w:qFormat/>
    <w:uiPriority w:val="0"/>
    <w:rPr>
      <w:kern w:val="2"/>
      <w:sz w:val="21"/>
      <w:szCs w:val="24"/>
    </w:rPr>
  </w:style>
  <w:style w:type="character" w:customStyle="1" w:styleId="190">
    <w:name w:val="标题 Char2"/>
    <w:qFormat/>
    <w:uiPriority w:val="0"/>
    <w:rPr>
      <w:rFonts w:hint="default" w:ascii="Cambria" w:hAnsi="Cambria" w:eastAsia="宋体"/>
      <w:b/>
      <w:kern w:val="2"/>
      <w:sz w:val="32"/>
      <w:lang w:val="en-US" w:eastAsia="zh-CN"/>
    </w:rPr>
  </w:style>
  <w:style w:type="character" w:customStyle="1" w:styleId="191">
    <w:name w:val="页眉 Char1"/>
    <w:qFormat/>
    <w:uiPriority w:val="0"/>
    <w:rPr>
      <w:rFonts w:hint="eastAsia" w:ascii="宋体" w:hAnsi="宋体" w:eastAsia="宋体"/>
      <w:kern w:val="2"/>
      <w:sz w:val="18"/>
      <w:lang w:val="en-US" w:eastAsia="zh-CN"/>
    </w:rPr>
  </w:style>
  <w:style w:type="character" w:customStyle="1" w:styleId="192">
    <w:name w:val="副标题 Char"/>
    <w:link w:val="45"/>
    <w:qFormat/>
    <w:uiPriority w:val="99"/>
    <w:rPr>
      <w:rFonts w:eastAsia="黑体"/>
      <w:color w:val="92D400"/>
      <w:sz w:val="72"/>
    </w:rPr>
  </w:style>
  <w:style w:type="character" w:customStyle="1" w:styleId="193">
    <w:name w:val="标题 Char1"/>
    <w:qFormat/>
    <w:uiPriority w:val="0"/>
    <w:rPr>
      <w:rFonts w:hint="default" w:ascii="Cambria" w:hAnsi="Cambria" w:eastAsia="宋体"/>
      <w:b/>
      <w:kern w:val="2"/>
      <w:sz w:val="32"/>
      <w:lang w:val="en-US" w:eastAsia="zh-CN"/>
    </w:rPr>
  </w:style>
  <w:style w:type="character" w:customStyle="1" w:styleId="194">
    <w:name w:val="批注框文本 Char1"/>
    <w:qFormat/>
    <w:uiPriority w:val="0"/>
    <w:rPr>
      <w:rFonts w:hint="eastAsia" w:ascii="宋体" w:hAnsi="宋体" w:eastAsia="宋体"/>
      <w:kern w:val="2"/>
      <w:sz w:val="18"/>
      <w:lang w:val="en-US" w:eastAsia="zh-CN"/>
    </w:rPr>
  </w:style>
  <w:style w:type="character" w:customStyle="1" w:styleId="195">
    <w:name w:val="纯文本 Char1"/>
    <w:qFormat/>
    <w:uiPriority w:val="0"/>
    <w:rPr>
      <w:rFonts w:hint="eastAsia" w:ascii="宋体" w:hAnsi="Courier New" w:eastAsia="宋体"/>
      <w:kern w:val="2"/>
      <w:sz w:val="21"/>
      <w:lang w:val="en-US" w:eastAsia="zh-CN"/>
    </w:rPr>
  </w:style>
  <w:style w:type="character" w:customStyle="1" w:styleId="196">
    <w:name w:val="称呼 Char"/>
    <w:link w:val="22"/>
    <w:qFormat/>
    <w:uiPriority w:val="99"/>
  </w:style>
  <w:style w:type="character" w:customStyle="1" w:styleId="197">
    <w:name w:val="日期 Char1"/>
    <w:qFormat/>
    <w:uiPriority w:val="0"/>
    <w:rPr>
      <w:rFonts w:hint="eastAsia" w:ascii="宋体" w:hAnsi="宋体" w:eastAsia="宋体"/>
      <w:kern w:val="2"/>
      <w:sz w:val="21"/>
      <w:lang w:val="en-US" w:eastAsia="zh-CN"/>
    </w:rPr>
  </w:style>
  <w:style w:type="character" w:customStyle="1" w:styleId="198">
    <w:name w:val="副标题 Char1"/>
    <w:qFormat/>
    <w:uiPriority w:val="0"/>
    <w:rPr>
      <w:rFonts w:hint="default" w:ascii="Cambria" w:hAnsi="Cambria" w:eastAsia="宋体"/>
      <w:b/>
      <w:kern w:val="28"/>
      <w:sz w:val="32"/>
      <w:lang w:val="en-US" w:eastAsia="zh-CN"/>
    </w:rPr>
  </w:style>
  <w:style w:type="character" w:customStyle="1" w:styleId="199">
    <w:name w:val="明显引用 Char1"/>
    <w:qFormat/>
    <w:uiPriority w:val="0"/>
    <w:rPr>
      <w:rFonts w:hint="eastAsia" w:ascii="宋体" w:hAnsi="宋体" w:eastAsia="宋体"/>
      <w:b/>
      <w:i/>
      <w:color w:val="4F81BD"/>
      <w:kern w:val="2"/>
      <w:sz w:val="21"/>
      <w:lang w:val="en-US" w:eastAsia="zh-CN"/>
    </w:rPr>
  </w:style>
  <w:style w:type="character" w:customStyle="1" w:styleId="200">
    <w:name w:val="页脚 Char1"/>
    <w:qFormat/>
    <w:uiPriority w:val="0"/>
    <w:rPr>
      <w:rFonts w:hint="eastAsia" w:ascii="宋体" w:hAnsi="宋体" w:eastAsia="宋体"/>
      <w:kern w:val="2"/>
      <w:sz w:val="18"/>
      <w:lang w:val="en-US" w:eastAsia="zh-CN"/>
    </w:rPr>
  </w:style>
  <w:style w:type="character" w:customStyle="1" w:styleId="201">
    <w:name w:val="标题 Char"/>
    <w:link w:val="46"/>
    <w:qFormat/>
    <w:uiPriority w:val="99"/>
    <w:rPr>
      <w:rFonts w:ascii="Arial" w:hAnsi="Arial"/>
      <w:b/>
      <w:sz w:val="32"/>
    </w:rPr>
  </w:style>
  <w:style w:type="character" w:customStyle="1" w:styleId="202">
    <w:name w:val="cap"/>
    <w:qFormat/>
    <w:uiPriority w:val="0"/>
    <w:rPr>
      <w:rFonts w:eastAsia="宋体"/>
      <w:kern w:val="2"/>
      <w:sz w:val="24"/>
      <w:lang w:val="en-US" w:eastAsia="zh-CN"/>
    </w:rPr>
  </w:style>
  <w:style w:type="character" w:customStyle="1" w:styleId="203">
    <w:name w:val="批注文字 Char1"/>
    <w:qFormat/>
    <w:uiPriority w:val="0"/>
    <w:rPr>
      <w:rFonts w:eastAsia="宋体"/>
      <w:kern w:val="2"/>
      <w:sz w:val="21"/>
      <w:lang w:val="en-US" w:eastAsia="zh-CN"/>
    </w:rPr>
  </w:style>
  <w:style w:type="character" w:customStyle="1" w:styleId="204">
    <w:name w:val="span_"/>
    <w:qFormat/>
    <w:uiPriority w:val="0"/>
    <w:rPr>
      <w:rFonts w:eastAsia="宋体"/>
      <w:kern w:val="2"/>
      <w:sz w:val="24"/>
      <w:lang w:val="en-US" w:eastAsia="zh-CN"/>
    </w:rPr>
  </w:style>
  <w:style w:type="character" w:customStyle="1" w:styleId="205">
    <w:name w:val="标题 3 Char1"/>
    <w:qFormat/>
    <w:uiPriority w:val="0"/>
    <w:rPr>
      <w:rFonts w:eastAsia="宋体"/>
      <w:b/>
      <w:kern w:val="2"/>
      <w:sz w:val="32"/>
      <w:lang w:val="en-US" w:eastAsia="zh-CN"/>
    </w:rPr>
  </w:style>
  <w:style w:type="character" w:customStyle="1" w:styleId="206">
    <w:name w:val="批注主题 Char1"/>
    <w:qFormat/>
    <w:uiPriority w:val="0"/>
    <w:rPr>
      <w:rFonts w:eastAsia="宋体"/>
      <w:b/>
      <w:kern w:val="2"/>
      <w:sz w:val="21"/>
      <w:lang w:val="en-US" w:eastAsia="zh-CN"/>
    </w:rPr>
  </w:style>
  <w:style w:type="character" w:customStyle="1" w:styleId="207">
    <w:name w:val="称呼 Char1"/>
    <w:qFormat/>
    <w:uiPriority w:val="0"/>
    <w:rPr>
      <w:rFonts w:hint="eastAsia" w:ascii="宋体" w:hAnsi="宋体" w:eastAsia="宋体"/>
      <w:kern w:val="2"/>
      <w:sz w:val="21"/>
      <w:lang w:val="en-US" w:eastAsia="zh-CN"/>
    </w:rPr>
  </w:style>
  <w:style w:type="character" w:customStyle="1" w:styleId="208">
    <w:name w:val="注释标题 Char"/>
    <w:link w:val="14"/>
    <w:qFormat/>
    <w:uiPriority w:val="99"/>
  </w:style>
  <w:style w:type="character" w:customStyle="1" w:styleId="209">
    <w:name w:val="notnullcss1"/>
    <w:qFormat/>
    <w:uiPriority w:val="0"/>
    <w:rPr>
      <w:rFonts w:eastAsia="宋体"/>
      <w:color w:val="FF0000"/>
      <w:kern w:val="2"/>
      <w:sz w:val="24"/>
      <w:lang w:val="en-US" w:eastAsia="zh-CN"/>
    </w:rPr>
  </w:style>
  <w:style w:type="character" w:customStyle="1" w:styleId="210">
    <w:name w:val="注释标题 Char1"/>
    <w:qFormat/>
    <w:uiPriority w:val="0"/>
    <w:rPr>
      <w:rFonts w:hint="eastAsia" w:ascii="宋体" w:hAnsi="宋体" w:eastAsia="宋体"/>
      <w:kern w:val="2"/>
      <w:sz w:val="21"/>
      <w:lang w:val="en-US" w:eastAsia="zh-CN"/>
    </w:rPr>
  </w:style>
  <w:style w:type="character" w:customStyle="1" w:styleId="211">
    <w:name w:val="脚注文本 Char1"/>
    <w:qFormat/>
    <w:uiPriority w:val="0"/>
    <w:rPr>
      <w:rFonts w:hint="eastAsia" w:ascii="宋体" w:hAnsi="宋体" w:eastAsia="宋体"/>
      <w:kern w:val="2"/>
      <w:sz w:val="18"/>
      <w:lang w:val="en-US" w:eastAsia="zh-CN"/>
    </w:rPr>
  </w:style>
  <w:style w:type="character" w:customStyle="1" w:styleId="212">
    <w:name w:val="中等深浅网格 3 - 强调文字颜色 2 Char"/>
    <w:qFormat/>
    <w:uiPriority w:val="0"/>
    <w:rPr>
      <w:rFonts w:eastAsia="黑体"/>
      <w:color w:val="3C8A2E"/>
      <w:kern w:val="2"/>
      <w:sz w:val="32"/>
    </w:rPr>
  </w:style>
  <w:style w:type="character" w:customStyle="1" w:styleId="213">
    <w:name w:val="中等深浅网格 2 - 强调文字颜色 2 Char"/>
    <w:qFormat/>
    <w:uiPriority w:val="0"/>
    <w:rPr>
      <w:rFonts w:eastAsia="黑体"/>
      <w:color w:val="00A1DE"/>
      <w:kern w:val="2"/>
      <w:sz w:val="32"/>
    </w:rPr>
  </w:style>
  <w:style w:type="character" w:customStyle="1" w:styleId="214">
    <w:name w:val="引用 Char1"/>
    <w:qFormat/>
    <w:uiPriority w:val="0"/>
    <w:rPr>
      <w:rFonts w:hint="eastAsia" w:ascii="宋体" w:hAnsi="宋体" w:eastAsia="宋体"/>
      <w:i/>
      <w:color w:val="000000"/>
      <w:kern w:val="2"/>
      <w:sz w:val="21"/>
      <w:lang w:val="en-US" w:eastAsia="zh-CN"/>
    </w:rPr>
  </w:style>
  <w:style w:type="character" w:customStyle="1" w:styleId="215">
    <w:name w:val="文档结构图 Char1"/>
    <w:qFormat/>
    <w:uiPriority w:val="0"/>
    <w:rPr>
      <w:rFonts w:hint="eastAsia" w:ascii="宋体" w:hAnsi="宋体" w:eastAsia="宋体"/>
      <w:kern w:val="2"/>
      <w:sz w:val="18"/>
      <w:lang w:val="en-US" w:eastAsia="zh-CN"/>
    </w:rPr>
  </w:style>
  <w:style w:type="character" w:customStyle="1" w:styleId="216">
    <w:name w:val="引用 Char2"/>
    <w:qFormat/>
    <w:uiPriority w:val="29"/>
    <w:rPr>
      <w:i/>
      <w:iCs/>
      <w:color w:val="000000"/>
      <w:kern w:val="2"/>
      <w:sz w:val="21"/>
      <w:szCs w:val="24"/>
    </w:rPr>
  </w:style>
  <w:style w:type="character" w:customStyle="1" w:styleId="217">
    <w:name w:val="脚注文本 Char2"/>
    <w:qFormat/>
    <w:uiPriority w:val="0"/>
    <w:rPr>
      <w:kern w:val="2"/>
      <w:sz w:val="18"/>
      <w:szCs w:val="18"/>
    </w:rPr>
  </w:style>
  <w:style w:type="paragraph" w:customStyle="1" w:styleId="218">
    <w:name w:val="Section"/>
    <w:next w:val="1"/>
    <w:qFormat/>
    <w:uiPriority w:val="99"/>
    <w:pPr>
      <w:keepNext/>
      <w:keepLines/>
      <w:widowControl w:val="0"/>
      <w:spacing w:before="300" w:after="300"/>
      <w:jc w:val="both"/>
    </w:pPr>
    <w:rPr>
      <w:rFonts w:ascii="Times New Roman" w:hAnsi="Times New Roman" w:eastAsia="宋体" w:cs="Times New Roman"/>
      <w:b/>
      <w:kern w:val="28"/>
      <w:sz w:val="21"/>
      <w:lang w:val="en-US" w:eastAsia="zh-CN" w:bidi="ar-SA"/>
    </w:rPr>
  </w:style>
  <w:style w:type="paragraph" w:customStyle="1" w:styleId="219">
    <w:name w:val="write2"/>
    <w:basedOn w:val="1"/>
    <w:qFormat/>
    <w:uiPriority w:val="99"/>
    <w:pPr>
      <w:widowControl/>
      <w:tabs>
        <w:tab w:val="left" w:pos="709"/>
      </w:tabs>
      <w:overflowPunct w:val="0"/>
      <w:autoSpaceDE w:val="0"/>
      <w:autoSpaceDN w:val="0"/>
      <w:adjustRightInd w:val="0"/>
      <w:textAlignment w:val="baseline"/>
    </w:pPr>
    <w:rPr>
      <w:rFonts w:ascii="Helvetica-Narrow" w:hAnsi="Helvetica-Narrow"/>
      <w:kern w:val="0"/>
      <w:sz w:val="24"/>
      <w:szCs w:val="20"/>
      <w:lang w:val="en-AU"/>
    </w:rPr>
  </w:style>
  <w:style w:type="character" w:customStyle="1" w:styleId="220">
    <w:name w:val="正文文本 Char2"/>
    <w:qFormat/>
    <w:uiPriority w:val="0"/>
    <w:rPr>
      <w:kern w:val="2"/>
      <w:sz w:val="21"/>
    </w:rPr>
  </w:style>
  <w:style w:type="paragraph" w:customStyle="1" w:styleId="221">
    <w:name w:val="Char Char Char Char Char Char1 Char Char Char"/>
    <w:basedOn w:val="1"/>
    <w:qFormat/>
    <w:uiPriority w:val="99"/>
    <w:pPr>
      <w:autoSpaceDE w:val="0"/>
      <w:autoSpaceDN w:val="0"/>
      <w:adjustRightInd w:val="0"/>
      <w:jc w:val="left"/>
      <w:textAlignment w:val="baseline"/>
    </w:pPr>
    <w:rPr>
      <w:rFonts w:ascii="Times New Roman" w:hAnsi="Times New Roman"/>
      <w:szCs w:val="20"/>
    </w:rPr>
  </w:style>
  <w:style w:type="paragraph" w:customStyle="1" w:styleId="222">
    <w:name w:val="xl25"/>
    <w:basedOn w:val="1"/>
    <w:qFormat/>
    <w:uiPriority w:val="99"/>
    <w:pPr>
      <w:widowControl/>
      <w:spacing w:before="100" w:beforeAutospacing="1" w:after="100" w:afterAutospacing="1"/>
      <w:jc w:val="left"/>
    </w:pPr>
    <w:rPr>
      <w:rFonts w:hint="eastAsia" w:ascii="仿宋_GB2312" w:hAnsi="Arial Unicode MS" w:eastAsia="仿宋_GB2312"/>
      <w:kern w:val="0"/>
      <w:sz w:val="24"/>
      <w:szCs w:val="20"/>
    </w:rPr>
  </w:style>
  <w:style w:type="paragraph" w:customStyle="1" w:styleId="223">
    <w:name w:val="Char Char Char Char Char Char Char Char Char"/>
    <w:basedOn w:val="1"/>
    <w:qFormat/>
    <w:uiPriority w:val="99"/>
    <w:pPr>
      <w:tabs>
        <w:tab w:val="left" w:pos="360"/>
      </w:tabs>
      <w:ind w:left="360" w:hanging="360"/>
    </w:pPr>
    <w:rPr>
      <w:rFonts w:ascii="Times New Roman" w:hAnsi="Times New Roman"/>
      <w:sz w:val="24"/>
      <w:szCs w:val="20"/>
    </w:rPr>
  </w:style>
  <w:style w:type="paragraph" w:customStyle="1" w:styleId="224">
    <w:name w:val="Style1"/>
    <w:basedOn w:val="3"/>
    <w:qFormat/>
    <w:uiPriority w:val="99"/>
    <w:pPr>
      <w:keepNext w:val="0"/>
      <w:keepLines w:val="0"/>
      <w:widowControl/>
      <w:snapToGrid w:val="0"/>
      <w:spacing w:before="240" w:after="60" w:line="240" w:lineRule="auto"/>
      <w:jc w:val="left"/>
    </w:pPr>
    <w:rPr>
      <w:rFonts w:ascii="Times New Roman" w:hAnsi="Times New Roman" w:eastAsia="仿宋"/>
      <w:b w:val="0"/>
      <w:color w:val="000000"/>
      <w:kern w:val="32"/>
      <w:sz w:val="24"/>
      <w:szCs w:val="20"/>
    </w:rPr>
  </w:style>
  <w:style w:type="paragraph" w:customStyle="1" w:styleId="225">
    <w:name w:val="Char1"/>
    <w:basedOn w:val="1"/>
    <w:qFormat/>
    <w:uiPriority w:val="99"/>
    <w:pPr>
      <w:ind w:left="765" w:hanging="360"/>
    </w:pPr>
    <w:rPr>
      <w:rFonts w:ascii="Times New Roman" w:hAnsi="Times New Roman"/>
      <w:sz w:val="24"/>
      <w:szCs w:val="20"/>
    </w:rPr>
  </w:style>
  <w:style w:type="character" w:customStyle="1" w:styleId="226">
    <w:name w:val="标题 Char3"/>
    <w:qFormat/>
    <w:uiPriority w:val="0"/>
    <w:rPr>
      <w:rFonts w:ascii="Cambria" w:hAnsi="Cambria" w:cs="Times New Roman"/>
      <w:b/>
      <w:bCs/>
      <w:kern w:val="2"/>
      <w:sz w:val="32"/>
      <w:szCs w:val="32"/>
    </w:rPr>
  </w:style>
  <w:style w:type="character" w:customStyle="1" w:styleId="227">
    <w:name w:val="文档结构图 Char2"/>
    <w:qFormat/>
    <w:uiPriority w:val="99"/>
    <w:rPr>
      <w:rFonts w:ascii="宋体"/>
      <w:kern w:val="2"/>
      <w:sz w:val="18"/>
      <w:szCs w:val="18"/>
    </w:rPr>
  </w:style>
  <w:style w:type="character" w:customStyle="1" w:styleId="228">
    <w:name w:val="副标题 Char2"/>
    <w:qFormat/>
    <w:uiPriority w:val="11"/>
    <w:rPr>
      <w:rFonts w:ascii="Cambria" w:hAnsi="Cambria" w:cs="Times New Roman"/>
      <w:b/>
      <w:bCs/>
      <w:kern w:val="28"/>
      <w:sz w:val="32"/>
      <w:szCs w:val="32"/>
    </w:rPr>
  </w:style>
  <w:style w:type="character" w:customStyle="1" w:styleId="229">
    <w:name w:val="注释标题 Char2"/>
    <w:qFormat/>
    <w:uiPriority w:val="99"/>
    <w:rPr>
      <w:kern w:val="2"/>
      <w:sz w:val="21"/>
      <w:szCs w:val="22"/>
    </w:rPr>
  </w:style>
  <w:style w:type="character" w:customStyle="1" w:styleId="230">
    <w:name w:val="明显引用 Char2"/>
    <w:qFormat/>
    <w:uiPriority w:val="30"/>
    <w:rPr>
      <w:b/>
      <w:bCs/>
      <w:i/>
      <w:iCs/>
      <w:color w:val="4F81BD"/>
      <w:kern w:val="2"/>
      <w:sz w:val="21"/>
      <w:szCs w:val="24"/>
    </w:rPr>
  </w:style>
  <w:style w:type="paragraph" w:customStyle="1" w:styleId="231">
    <w:name w:val="Char Char Char Char Char Char Char"/>
    <w:basedOn w:val="1"/>
    <w:qFormat/>
    <w:uiPriority w:val="99"/>
    <w:pPr>
      <w:tabs>
        <w:tab w:val="left" w:pos="360"/>
      </w:tabs>
      <w:ind w:left="360" w:hanging="360"/>
    </w:pPr>
    <w:rPr>
      <w:rFonts w:ascii="Times New Roman" w:hAnsi="Times New Roman"/>
      <w:sz w:val="24"/>
      <w:szCs w:val="20"/>
    </w:rPr>
  </w:style>
  <w:style w:type="character" w:customStyle="1" w:styleId="232">
    <w:name w:val="称呼 Char2"/>
    <w:qFormat/>
    <w:uiPriority w:val="99"/>
    <w:rPr>
      <w:kern w:val="2"/>
      <w:sz w:val="21"/>
      <w:szCs w:val="22"/>
    </w:rPr>
  </w:style>
  <w:style w:type="paragraph" w:customStyle="1" w:styleId="233">
    <w:name w:val="Body copy hanging"/>
    <w:basedOn w:val="1"/>
    <w:qFormat/>
    <w:uiPriority w:val="99"/>
    <w:pPr>
      <w:widowControl/>
      <w:spacing w:before="20" w:line="210" w:lineRule="exact"/>
      <w:ind w:left="510" w:hanging="510"/>
      <w:jc w:val="left"/>
    </w:pPr>
    <w:rPr>
      <w:rFonts w:ascii="Arial" w:hAnsi="Arial" w:eastAsia="PMingLiU"/>
      <w:color w:val="000000"/>
      <w:kern w:val="0"/>
      <w:sz w:val="17"/>
      <w:szCs w:val="20"/>
      <w:lang w:val="en-AU" w:eastAsia="en-US"/>
    </w:rPr>
  </w:style>
  <w:style w:type="paragraph" w:customStyle="1" w:styleId="234">
    <w:name w:val="xl61"/>
    <w:basedOn w:val="1"/>
    <w:qFormat/>
    <w:uiPriority w:val="99"/>
    <w:pPr>
      <w:widowControl/>
      <w:spacing w:before="100" w:after="100"/>
      <w:jc w:val="right"/>
    </w:pPr>
    <w:rPr>
      <w:rFonts w:ascii="Arial Unicode MS" w:hAnsi="Times New Roman" w:eastAsia="Arial Unicode MS"/>
      <w:kern w:val="0"/>
      <w:sz w:val="18"/>
      <w:szCs w:val="20"/>
    </w:rPr>
  </w:style>
  <w:style w:type="character" w:customStyle="1" w:styleId="235">
    <w:name w:val="中等深浅底纹 1 - 强调文字颜色 1 Char"/>
    <w:qFormat/>
    <w:uiPriority w:val="1"/>
    <w:rPr>
      <w:rFonts w:ascii="Calibri" w:hAnsi="Calibri"/>
      <w:sz w:val="22"/>
      <w:szCs w:val="22"/>
    </w:rPr>
  </w:style>
  <w:style w:type="table" w:customStyle="1" w:styleId="236">
    <w:name w:val="网格型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Normal_0"/>
    <w:qFormat/>
    <w:uiPriority w:val="99"/>
    <w:pPr>
      <w:spacing w:before="120" w:after="240"/>
      <w:jc w:val="both"/>
    </w:pPr>
    <w:rPr>
      <w:rFonts w:ascii="Calibri" w:hAnsi="Calibri" w:eastAsia="Calibri" w:cs="Times New Roman"/>
      <w:sz w:val="22"/>
      <w:szCs w:val="22"/>
      <w:lang w:val="ru-RU" w:eastAsia="en-US" w:bidi="ar-SA"/>
    </w:rPr>
  </w:style>
  <w:style w:type="table" w:customStyle="1" w:styleId="239">
    <w:name w:val="网格型3"/>
    <w:basedOn w:val="59"/>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0">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styleId="241">
    <w:name w:val="List Paragraph"/>
    <w:basedOn w:val="1"/>
    <w:link w:val="242"/>
    <w:qFormat/>
    <w:uiPriority w:val="34"/>
    <w:pPr>
      <w:ind w:firstLine="420" w:firstLineChars="200"/>
    </w:pPr>
    <w:rPr>
      <w:rFonts w:ascii="Times New Roman" w:hAnsi="Times New Roman"/>
      <w:szCs w:val="20"/>
    </w:rPr>
  </w:style>
  <w:style w:type="character" w:customStyle="1" w:styleId="242">
    <w:name w:val="列出段落 Char"/>
    <w:link w:val="241"/>
    <w:qFormat/>
    <w:locked/>
    <w:uiPriority w:val="34"/>
    <w:rPr>
      <w:rFonts w:ascii="Times New Roman" w:hAnsi="Times New Roman"/>
      <w:kern w:val="2"/>
      <w:sz w:val="21"/>
    </w:rPr>
  </w:style>
  <w:style w:type="paragraph" w:customStyle="1" w:styleId="243">
    <w:name w:val="修订1"/>
    <w:hidden/>
    <w:qFormat/>
    <w:uiPriority w:val="99"/>
    <w:rPr>
      <w:rFonts w:ascii="Times New Roman" w:hAnsi="Times New Roman" w:eastAsia="宋体" w:cs="Times New Roman"/>
      <w:kern w:val="2"/>
      <w:sz w:val="21"/>
      <w:lang w:val="en-US" w:eastAsia="zh-CN" w:bidi="ar-SA"/>
    </w:rPr>
  </w:style>
  <w:style w:type="character" w:customStyle="1" w:styleId="244">
    <w:name w:val="明显引用 Char"/>
    <w:link w:val="245"/>
    <w:qFormat/>
    <w:uiPriority w:val="99"/>
    <w:rPr>
      <w:rFonts w:eastAsia="黑体"/>
      <w:color w:val="3C8A2E"/>
      <w:sz w:val="32"/>
    </w:rPr>
  </w:style>
  <w:style w:type="paragraph" w:styleId="245">
    <w:name w:val="Intense Quote"/>
    <w:basedOn w:val="246"/>
    <w:link w:val="244"/>
    <w:qFormat/>
    <w:uiPriority w:val="99"/>
    <w:rPr>
      <w:color w:val="3C8A2E"/>
    </w:rPr>
  </w:style>
  <w:style w:type="paragraph" w:styleId="246">
    <w:name w:val="Quote"/>
    <w:link w:val="247"/>
    <w:qFormat/>
    <w:uiPriority w:val="99"/>
    <w:pPr>
      <w:spacing w:before="360" w:after="360"/>
    </w:pPr>
    <w:rPr>
      <w:rFonts w:ascii="Calibri" w:hAnsi="Calibri" w:eastAsia="黑体" w:cs="Times New Roman"/>
      <w:color w:val="00A1DE"/>
      <w:sz w:val="32"/>
      <w:lang w:val="en-US" w:eastAsia="zh-CN" w:bidi="ar-SA"/>
    </w:rPr>
  </w:style>
  <w:style w:type="character" w:customStyle="1" w:styleId="247">
    <w:name w:val="引用 Char"/>
    <w:link w:val="246"/>
    <w:qFormat/>
    <w:uiPriority w:val="99"/>
    <w:rPr>
      <w:rFonts w:eastAsia="黑体"/>
      <w:color w:val="00A1DE"/>
      <w:sz w:val="32"/>
    </w:rPr>
  </w:style>
  <w:style w:type="character" w:customStyle="1" w:styleId="248">
    <w:name w:val="引用 Char3"/>
    <w:qFormat/>
    <w:uiPriority w:val="64"/>
    <w:rPr>
      <w:i/>
      <w:iCs/>
      <w:color w:val="000000"/>
      <w:kern w:val="2"/>
      <w:sz w:val="21"/>
      <w:szCs w:val="22"/>
    </w:rPr>
  </w:style>
  <w:style w:type="character" w:customStyle="1" w:styleId="249">
    <w:name w:val="明显引用 Char3"/>
    <w:qFormat/>
    <w:uiPriority w:val="65"/>
    <w:rPr>
      <w:b/>
      <w:bCs/>
      <w:i/>
      <w:iCs/>
      <w:color w:val="4F81BD"/>
      <w:kern w:val="2"/>
      <w:sz w:val="21"/>
      <w:szCs w:val="22"/>
    </w:rPr>
  </w:style>
  <w:style w:type="paragraph" w:styleId="250">
    <w:name w:val="No Spacing"/>
    <w:link w:val="251"/>
    <w:qFormat/>
    <w:uiPriority w:val="1"/>
    <w:rPr>
      <w:rFonts w:ascii="Calibri" w:hAnsi="Calibri" w:eastAsia="宋体" w:cs="Times New Roman"/>
      <w:sz w:val="22"/>
      <w:szCs w:val="22"/>
      <w:lang w:val="en-US" w:eastAsia="zh-CN" w:bidi="ar-SA"/>
    </w:rPr>
  </w:style>
  <w:style w:type="character" w:customStyle="1" w:styleId="251">
    <w:name w:val="无间隔 Char"/>
    <w:link w:val="250"/>
    <w:qFormat/>
    <w:uiPriority w:val="1"/>
    <w:rPr>
      <w:sz w:val="22"/>
      <w:szCs w:val="22"/>
    </w:rPr>
  </w:style>
  <w:style w:type="character" w:customStyle="1" w:styleId="252">
    <w:name w:val="read"/>
    <w:qFormat/>
    <w:uiPriority w:val="0"/>
  </w:style>
  <w:style w:type="character" w:customStyle="1" w:styleId="253">
    <w:name w:val="HTML 预设格式 Char"/>
    <w:link w:val="55"/>
    <w:qFormat/>
    <w:uiPriority w:val="0"/>
    <w:rPr>
      <w:rFonts w:ascii="宋体" w:hAnsi="宋体" w:cs="宋体"/>
      <w:sz w:val="24"/>
      <w:szCs w:val="24"/>
    </w:rPr>
  </w:style>
  <w:style w:type="paragraph" w:customStyle="1" w:styleId="254">
    <w:name w:val="Char Char Char Char"/>
    <w:basedOn w:val="1"/>
    <w:qFormat/>
    <w:uiPriority w:val="99"/>
    <w:pPr>
      <w:tabs>
        <w:tab w:val="left" w:pos="360"/>
      </w:tabs>
    </w:pPr>
    <w:rPr>
      <w:rFonts w:ascii="Times New Roman" w:hAnsi="Times New Roman"/>
      <w:szCs w:val="20"/>
    </w:rPr>
  </w:style>
  <w:style w:type="paragraph" w:customStyle="1" w:styleId="255">
    <w:name w:val="默认段落字体 Para Char"/>
    <w:basedOn w:val="1"/>
    <w:qFormat/>
    <w:uiPriority w:val="99"/>
    <w:pPr>
      <w:tabs>
        <w:tab w:val="left" w:pos="360"/>
      </w:tabs>
      <w:spacing w:before="312" w:after="312" w:line="360" w:lineRule="auto"/>
    </w:pPr>
    <w:rPr>
      <w:rFonts w:ascii="Times New Roman" w:hAnsi="Times New Roman"/>
      <w:szCs w:val="20"/>
    </w:rPr>
  </w:style>
  <w:style w:type="paragraph" w:customStyle="1" w:styleId="256">
    <w:name w:val="Char Char Char Char Char Char1 Char Char Char2"/>
    <w:basedOn w:val="1"/>
    <w:qFormat/>
    <w:uiPriority w:val="99"/>
    <w:pPr>
      <w:autoSpaceDE w:val="0"/>
      <w:autoSpaceDN w:val="0"/>
      <w:adjustRightInd w:val="0"/>
      <w:jc w:val="left"/>
      <w:textAlignment w:val="baseline"/>
    </w:pPr>
    <w:rPr>
      <w:rFonts w:ascii="Times New Roman" w:hAnsi="Times New Roman" w:eastAsia="方正仿宋简体"/>
      <w:sz w:val="32"/>
      <w:szCs w:val="20"/>
    </w:rPr>
  </w:style>
  <w:style w:type="paragraph" w:customStyle="1" w:styleId="257">
    <w:name w:val="Char Char Char Char Char Char1 Char Char Char1"/>
    <w:basedOn w:val="1"/>
    <w:qFormat/>
    <w:uiPriority w:val="99"/>
    <w:pPr>
      <w:autoSpaceDE w:val="0"/>
      <w:autoSpaceDN w:val="0"/>
      <w:adjustRightInd w:val="0"/>
      <w:jc w:val="left"/>
      <w:textAlignment w:val="baseline"/>
    </w:pPr>
    <w:rPr>
      <w:rFonts w:ascii="Times New Roman" w:hAnsi="Times New Roman" w:eastAsia="方正仿宋简体"/>
      <w:sz w:val="32"/>
      <w:szCs w:val="20"/>
    </w:rPr>
  </w:style>
  <w:style w:type="paragraph" w:customStyle="1" w:styleId="258">
    <w:name w:val="列出段落1"/>
    <w:basedOn w:val="1"/>
    <w:qFormat/>
    <w:uiPriority w:val="34"/>
    <w:pPr>
      <w:ind w:firstLine="420" w:firstLineChars="200"/>
    </w:pPr>
    <w:rPr>
      <w:rFonts w:cs="黑体"/>
    </w:rPr>
  </w:style>
  <w:style w:type="character" w:customStyle="1" w:styleId="259">
    <w:name w:val="日期 Char2"/>
    <w:qFormat/>
    <w:uiPriority w:val="99"/>
    <w:rPr>
      <w:rFonts w:ascii="Times New Roman" w:hAnsi="Times New Roman" w:eastAsia="宋体" w:cs="Times New Roman"/>
      <w:szCs w:val="20"/>
    </w:rPr>
  </w:style>
  <w:style w:type="paragraph" w:customStyle="1" w:styleId="260">
    <w:name w:val="CX-一级标题"/>
    <w:basedOn w:val="1"/>
    <w:link w:val="262"/>
    <w:qFormat/>
    <w:uiPriority w:val="0"/>
    <w:pPr>
      <w:spacing w:before="312" w:beforeLines="100" w:after="312" w:afterLines="100"/>
      <w:ind w:firstLine="602" w:firstLineChars="200"/>
    </w:pPr>
    <w:rPr>
      <w:rFonts w:ascii="黑体" w:hAnsi="黑体" w:eastAsia="黑体"/>
      <w:color w:val="000000"/>
      <w:sz w:val="30"/>
      <w:szCs w:val="30"/>
    </w:rPr>
  </w:style>
  <w:style w:type="paragraph" w:customStyle="1" w:styleId="261">
    <w:name w:val="CX-正文"/>
    <w:basedOn w:val="1"/>
    <w:link w:val="264"/>
    <w:qFormat/>
    <w:uiPriority w:val="0"/>
    <w:pPr>
      <w:spacing w:line="560" w:lineRule="exact"/>
      <w:ind w:firstLine="570"/>
    </w:pPr>
    <w:rPr>
      <w:rFonts w:ascii="Times New Roman" w:hAnsi="Times New Roman"/>
      <w:b/>
      <w:sz w:val="28"/>
      <w:szCs w:val="28"/>
    </w:rPr>
  </w:style>
  <w:style w:type="character" w:customStyle="1" w:styleId="262">
    <w:name w:val="CX-一级标题 Char"/>
    <w:link w:val="260"/>
    <w:qFormat/>
    <w:uiPriority w:val="0"/>
    <w:rPr>
      <w:rFonts w:ascii="黑体" w:hAnsi="黑体" w:eastAsia="黑体"/>
      <w:color w:val="000000"/>
      <w:kern w:val="2"/>
      <w:sz w:val="30"/>
      <w:szCs w:val="30"/>
    </w:rPr>
  </w:style>
  <w:style w:type="paragraph" w:customStyle="1" w:styleId="263">
    <w:name w:val="CX-备忘录正文"/>
    <w:basedOn w:val="261"/>
    <w:link w:val="265"/>
    <w:qFormat/>
    <w:uiPriority w:val="0"/>
    <w:rPr>
      <w:rFonts w:ascii="方正仿宋简体" w:eastAsia="方正仿宋简体"/>
      <w:b w:val="0"/>
      <w:sz w:val="30"/>
    </w:rPr>
  </w:style>
  <w:style w:type="character" w:customStyle="1" w:styleId="264">
    <w:name w:val="CX-正文 Char"/>
    <w:link w:val="261"/>
    <w:qFormat/>
    <w:uiPriority w:val="0"/>
    <w:rPr>
      <w:rFonts w:ascii="Times New Roman" w:hAnsi="Times New Roman"/>
      <w:b/>
      <w:kern w:val="2"/>
      <w:sz w:val="28"/>
      <w:szCs w:val="28"/>
    </w:rPr>
  </w:style>
  <w:style w:type="character" w:customStyle="1" w:styleId="265">
    <w:name w:val="CX-备忘录正文 Char"/>
    <w:link w:val="263"/>
    <w:qFormat/>
    <w:uiPriority w:val="0"/>
    <w:rPr>
      <w:rFonts w:ascii="方正仿宋简体" w:hAnsi="Times New Roman" w:eastAsia="方正仿宋简体"/>
      <w:kern w:val="2"/>
      <w:sz w:val="30"/>
      <w:szCs w:val="28"/>
    </w:rPr>
  </w:style>
  <w:style w:type="paragraph" w:customStyle="1" w:styleId="266">
    <w:name w:val="CX-附件"/>
    <w:basedOn w:val="263"/>
    <w:link w:val="267"/>
    <w:qFormat/>
    <w:uiPriority w:val="0"/>
    <w:pPr>
      <w:ind w:firstLine="0"/>
    </w:pPr>
    <w:rPr>
      <w:b/>
    </w:rPr>
  </w:style>
  <w:style w:type="character" w:customStyle="1" w:styleId="267">
    <w:name w:val="CX-附件 Char"/>
    <w:link w:val="266"/>
    <w:qFormat/>
    <w:uiPriority w:val="0"/>
    <w:rPr>
      <w:rFonts w:ascii="方正仿宋简体" w:hAnsi="Times New Roman" w:eastAsia="方正仿宋简体"/>
      <w:b/>
      <w:kern w:val="2"/>
      <w:sz w:val="30"/>
      <w:szCs w:val="28"/>
    </w:rPr>
  </w:style>
  <w:style w:type="table" w:customStyle="1" w:styleId="268">
    <w:name w:val="网格型1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4"/>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1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2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11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31"/>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典雅型1"/>
    <w:basedOn w:val="5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5">
    <w:name w:val="网格型5"/>
    <w:basedOn w:val="5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专业型1"/>
    <w:basedOn w:val="59"/>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277">
    <w:name w:val="网格型13"/>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22"/>
    <w:basedOn w:val="5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32"/>
    <w:basedOn w:val="59"/>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中等深浅网格 3 - 强调文字颜色 21"/>
    <w:basedOn w:val="59"/>
    <w:qFormat/>
    <w:uiPriority w:val="0"/>
    <w:rPr>
      <w:rFonts w:eastAsia="黑体"/>
      <w:color w:val="3C8A2E"/>
      <w:kern w:val="2"/>
      <w:sz w:val="32"/>
      <w:szCs w:val="22"/>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tcPr>
        <w:tcBorders>
          <w:left w:val="single" w:color="FFFFFF" w:sz="8" w:space="0"/>
          <w:right w:val="single" w:color="FFFFFF" w:sz="24" w:space="0"/>
          <w:insideH w:val="nil"/>
          <w:insideV w:val="nil"/>
        </w:tcBorders>
        <w:shd w:val="clear" w:color="auto" w:fill="C0504D"/>
      </w:tcPr>
    </w:tblStylePr>
    <w:tblStylePr w:type="lastCol">
      <w:tcPr>
        <w:tcBorders>
          <w:top w:val="nil"/>
          <w:left w:val="single" w:color="FFFFFF" w:sz="24" w:space="0"/>
          <w:bottom w:val="nil"/>
          <w:right w:val="nil"/>
          <w:insideH w:val="nil"/>
          <w:insideV w:val="nil"/>
        </w:tcBorders>
        <w:shd w:val="clear" w:color="auto" w:fill="C0504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customStyle="1" w:styleId="281">
    <w:name w:val="中等深浅网格 2 - 强调文字颜色 21"/>
    <w:basedOn w:val="59"/>
    <w:qFormat/>
    <w:uiPriority w:val="0"/>
    <w:rPr>
      <w:rFonts w:eastAsia="黑体"/>
      <w:color w:val="00A1DE"/>
      <w:kern w:val="2"/>
      <w:sz w:val="32"/>
      <w:szCs w:val="22"/>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tcPr>
        <w:shd w:val="clear" w:color="auto" w:fill="F8EDED"/>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F2DBDB"/>
      </w:tcPr>
    </w:tblStylePr>
    <w:tblStylePr w:type="band1Vert">
      <w:tcPr>
        <w:shd w:val="clear" w:color="auto" w:fill="DFA7A6"/>
      </w:tcPr>
    </w:tblStylePr>
    <w:tblStylePr w:type="band1Horz">
      <w:tcPr>
        <w:tcBorders>
          <w:insideH w:val="single" w:sz="6" w:space="0"/>
          <w:insideV w:val="single" w:sz="6" w:space="0"/>
        </w:tcBorders>
        <w:shd w:val="clear" w:color="auto" w:fill="DFA7A6"/>
      </w:tcPr>
    </w:tblStylePr>
    <w:tblStylePr w:type="nwCell">
      <w:tcPr>
        <w:shd w:val="clear" w:color="auto" w:fill="FFFFFF"/>
      </w:tcPr>
    </w:tblStylePr>
  </w:style>
  <w:style w:type="table" w:customStyle="1" w:styleId="282">
    <w:name w:val="中等深浅底纹 1 - 强调文字颜色 11"/>
    <w:basedOn w:val="59"/>
    <w:qFormat/>
    <w:uiPriority w:val="1"/>
    <w:rPr>
      <w:kern w:val="2"/>
      <w:sz w:val="22"/>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tcPr>
        <w:tcBorders>
          <w:top w:val="double" w:color="7BA0CD" w:sz="6" w:space="0"/>
          <w:left w:val="single" w:color="7BA0CD" w:sz="8" w:space="0"/>
          <w:bottom w:val="single" w:color="7BA0CD" w:sz="8" w:space="0"/>
          <w:right w:val="single" w:color="7BA0CD" w:sz="8" w:space="0"/>
          <w:insideH w:val="nil"/>
          <w:insideV w:val="nil"/>
        </w:tcBorders>
      </w:tc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283">
    <w:name w:val="网格型11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4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12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21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1111"/>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311"/>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6"/>
    <w:basedOn w:val="5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5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典雅型2"/>
    <w:basedOn w:val="5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93">
    <w:name w:val="网格型9"/>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专业型2"/>
    <w:basedOn w:val="59"/>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l2br w:val="nil"/>
          <w:tr2bl w:val="nil"/>
        </w:tcBorders>
        <w:shd w:val="solid" w:color="000000" w:fill="FFFFFF"/>
      </w:tcPr>
    </w:tblStylePr>
  </w:style>
  <w:style w:type="table" w:customStyle="1" w:styleId="295">
    <w:name w:val="网格型14"/>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23"/>
    <w:basedOn w:val="5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33"/>
    <w:basedOn w:val="59"/>
    <w:qFormat/>
    <w:uiPriority w:val="5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中等深浅网格 3 - 强调文字颜色 22"/>
    <w:basedOn w:val="59"/>
    <w:qFormat/>
    <w:uiPriority w:val="0"/>
    <w:rPr>
      <w:rFonts w:eastAsia="黑体"/>
      <w:color w:val="3C8A2E"/>
      <w:kern w:val="2"/>
      <w:sz w:val="32"/>
      <w:szCs w:val="22"/>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tcPr>
        <w:tcBorders>
          <w:left w:val="single" w:color="FFFFFF" w:sz="8" w:space="0"/>
          <w:right w:val="single" w:color="FFFFFF" w:sz="24" w:space="0"/>
          <w:insideH w:val="nil"/>
          <w:insideV w:val="nil"/>
        </w:tcBorders>
        <w:shd w:val="clear" w:color="auto" w:fill="C0504D"/>
      </w:tcPr>
    </w:tblStylePr>
    <w:tblStylePr w:type="lastCol">
      <w:tcPr>
        <w:tcBorders>
          <w:top w:val="nil"/>
          <w:left w:val="single" w:color="FFFFFF" w:sz="24" w:space="0"/>
          <w:bottom w:val="nil"/>
          <w:right w:val="nil"/>
          <w:insideH w:val="nil"/>
          <w:insideV w:val="nil"/>
        </w:tcBorders>
        <w:shd w:val="clear" w:color="auto" w:fill="C0504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customStyle="1" w:styleId="299">
    <w:name w:val="中等深浅网格 2 - 强调文字颜色 22"/>
    <w:basedOn w:val="59"/>
    <w:qFormat/>
    <w:uiPriority w:val="0"/>
    <w:rPr>
      <w:rFonts w:eastAsia="黑体"/>
      <w:color w:val="00A1DE"/>
      <w:kern w:val="2"/>
      <w:sz w:val="32"/>
      <w:szCs w:val="22"/>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tcPr>
        <w:shd w:val="clear" w:color="auto" w:fill="F8EDED"/>
      </w:tcPr>
    </w:tblStylePr>
    <w:tblStylePr w:type="lastRow">
      <w:tcPr>
        <w:tcBorders>
          <w:top w:val="single" w:color="000000" w:sz="12" w:space="0"/>
          <w:left w:val="nil"/>
          <w:bottom w:val="nil"/>
          <w:right w:val="nil"/>
          <w:insideH w:val="nil"/>
          <w:insideV w:val="nil"/>
        </w:tcBorders>
        <w:shd w:val="clear" w:color="auto" w:fill="FFFFFF"/>
      </w:tcPr>
    </w:tblStylePr>
    <w:tblStylePr w:type="firstCol">
      <w:tcPr>
        <w:tcBorders>
          <w:top w:val="nil"/>
          <w:left w:val="nil"/>
          <w:bottom w:val="nil"/>
          <w:right w:val="nil"/>
          <w:insideH w:val="nil"/>
          <w:insideV w:val="nil"/>
        </w:tcBorders>
        <w:shd w:val="clear" w:color="auto" w:fill="FFFFFF"/>
      </w:tcPr>
    </w:tblStylePr>
    <w:tblStylePr w:type="lastCol">
      <w:tcPr>
        <w:tcBorders>
          <w:top w:val="nil"/>
          <w:left w:val="nil"/>
          <w:bottom w:val="nil"/>
          <w:right w:val="nil"/>
          <w:insideH w:val="nil"/>
          <w:insideV w:val="nil"/>
        </w:tcBorders>
        <w:shd w:val="clear" w:color="auto" w:fill="F2DBDB"/>
      </w:tcPr>
    </w:tblStylePr>
    <w:tblStylePr w:type="band1Vert">
      <w:tcPr>
        <w:shd w:val="clear" w:color="auto" w:fill="DFA7A6"/>
      </w:tcPr>
    </w:tblStylePr>
    <w:tblStylePr w:type="band1Horz">
      <w:tcPr>
        <w:tcBorders>
          <w:insideH w:val="single" w:sz="6" w:space="0"/>
          <w:insideV w:val="single" w:sz="6" w:space="0"/>
        </w:tcBorders>
        <w:shd w:val="clear" w:color="auto" w:fill="DFA7A6"/>
      </w:tcPr>
    </w:tblStylePr>
    <w:tblStylePr w:type="nwCell">
      <w:tcPr>
        <w:shd w:val="clear" w:color="auto" w:fill="FFFFFF"/>
      </w:tcPr>
    </w:tblStylePr>
  </w:style>
  <w:style w:type="table" w:customStyle="1" w:styleId="300">
    <w:name w:val="中等深浅底纹 1 - 强调文字颜色 12"/>
    <w:basedOn w:val="59"/>
    <w:qFormat/>
    <w:uiPriority w:val="1"/>
    <w:rPr>
      <w:kern w:val="2"/>
      <w:sz w:val="22"/>
      <w:szCs w:val="22"/>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tcPr>
        <w:tcBorders>
          <w:top w:val="double" w:color="7BA0CD" w:sz="6" w:space="0"/>
          <w:left w:val="single" w:color="7BA0CD" w:sz="8" w:space="0"/>
          <w:bottom w:val="single" w:color="7BA0CD" w:sz="8" w:space="0"/>
          <w:right w:val="single" w:color="7BA0CD" w:sz="8" w:space="0"/>
          <w:insideH w:val="nil"/>
          <w:insideV w:val="nil"/>
        </w:tcBorders>
      </w:tc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301">
    <w:name w:val="网格型113"/>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网格型4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
    <w:name w:val="网格型12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21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
    <w:name w:val="网格型1112"/>
    <w:basedOn w:val="59"/>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
    <w:name w:val="网格型312"/>
    <w:basedOn w:val="5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6DA6E0EB48A96F43A9468238247BD3EE" ma:contentTypeVersion="0" ma:contentTypeDescription="新建文档。" ma:contentTypeScope="" ma:versionID="0efce22381d9e8b1e41ebcc20882a78a">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A8494-816F-491E-83D4-6D40DA5628D0}">
  <ds:schemaRefs/>
</ds:datastoreItem>
</file>

<file path=customXml/itemProps3.xml><?xml version="1.0" encoding="utf-8"?>
<ds:datastoreItem xmlns:ds="http://schemas.openxmlformats.org/officeDocument/2006/customXml" ds:itemID="{3B09F9F2-B068-41C8-BD53-B94620AFF3DB}">
  <ds:schemaRefs/>
</ds:datastoreItem>
</file>

<file path=customXml/itemProps4.xml><?xml version="1.0" encoding="utf-8"?>
<ds:datastoreItem xmlns:ds="http://schemas.openxmlformats.org/officeDocument/2006/customXml" ds:itemID="{96DC9353-4F81-46BF-86AC-825720A9441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18080</Words>
  <Characters>103061</Characters>
  <Lines>858</Lines>
  <Paragraphs>241</Paragraphs>
  <TotalTime>0</TotalTime>
  <ScaleCrop>false</ScaleCrop>
  <LinksUpToDate>false</LinksUpToDate>
  <CharactersWithSpaces>120900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2023-12-14T07:56:00Z</dcterms:created>
  <dc:creator>zack</dc:creator>
  <cp:lastModifiedBy>朱晓婷</cp:lastModifiedBy>
  <dcterms:modified xsi:type="dcterms:W3CDTF">2024-11-29T08:26:53Z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ContentTypeId">
    <vt:lpwstr>0x0101006DA6E0EB48A96F43A9468238247BD3EE</vt:lpwstr>
  </property>
  <property fmtid="{D5CDD505-2E9C-101B-9397-08002B2CF9AE}" pid="4" name="ICV">
    <vt:lpwstr>9EEFA59C99CE4BB6983D8D397BAD3541</vt:lpwstr>
  </property>
</Properties>
</file>