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5"/>
        <w:spacing w:beforeLines="0" w:before="312" w:afterLines="0" w:after="312" w:line="560" w:lineRule="exact"/>
        <w:jc w:val="left"/>
        <w:rPr>
          <w:rFonts w:ascii="方正黑体_GBK" w:eastAsia="方正黑体_GBK" w:cs="Times New Roman"/>
          <w:b w:val="0"/>
        </w:rPr>
      </w:pPr>
      <w:r>
        <w:rPr>
          <w:rFonts w:ascii="方正黑体_GBK" w:eastAsia="方正黑体_GBK" w:cs="Times New Roman" w:hint="eastAsia"/>
          <w:b w:val="0"/>
        </w:rPr>
        <w:t xml:space="preserve">附件1 </w:t>
      </w:r>
    </w:p>
    <w:p>
      <w:pPr>
        <w:pStyle w:val="15"/>
        <w:spacing w:beforeLines="0" w:before="312" w:afterLines="0" w:after="312" w:line="560" w:lineRule="exact"/>
        <w:rPr>
          <w:rFonts w:ascii="方正小标宋_GBK" w:eastAsia="方正小标宋_GBK" w:cs="方正小标宋_GBK" w:hint="eastAsia"/>
          <w:b w:val="0"/>
          <w:sz w:val="44"/>
          <w:szCs w:val="44"/>
        </w:rPr>
      </w:pPr>
      <w:r>
        <w:rPr>
          <w:rFonts w:ascii="方正小标宋_GBK" w:eastAsia="方正小标宋_GBK" w:cs="方正小标宋_GBK" w:hint="eastAsia"/>
          <w:b w:val="0"/>
          <w:sz w:val="44"/>
          <w:szCs w:val="44"/>
        </w:rPr>
        <w:t>产品特定原产地规则</w:t>
      </w:r>
    </w:p>
    <w:p>
      <w:pPr>
        <w:spacing w:line="560" w:lineRule="exact"/>
        <w:jc w:val="center"/>
        <w:rPr>
          <w:rFonts w:ascii="方正黑体_GBK" w:eastAsia="方正黑体_GBK" w:cs="方正黑体_GBK" w:hint="eastAsia"/>
          <w:sz w:val="32"/>
          <w:szCs w:val="32"/>
        </w:rPr>
      </w:pPr>
      <w:r>
        <w:rPr>
          <w:rFonts w:ascii="方正黑体_GBK" w:eastAsia="方正黑体_GBK" w:cs="方正黑体_GBK" w:hint="eastAsia"/>
          <w:sz w:val="32"/>
          <w:szCs w:val="32"/>
        </w:rPr>
        <w:t>注释</w:t>
      </w:r>
    </w:p>
    <w:p>
      <w:pPr>
        <w:pStyle w:val="31"/>
        <w:spacing w:after="0" w:line="560" w:lineRule="exact"/>
        <w:ind w:firstLineChars="200" w:firstLine="640"/>
        <w:jc w:val="both"/>
        <w:rPr>
          <w:rFonts w:ascii="方正仿宋_GBK" w:eastAsia="方正仿宋_GBK" w:cs="方正仿宋_GBK" w:hint="eastAsia"/>
          <w:sz w:val="32"/>
          <w:szCs w:val="32"/>
          <w:lang w:val="en-US" w:eastAsia="zh-CN"/>
        </w:rPr>
      </w:pPr>
      <w:r>
        <w:rPr>
          <w:rFonts w:ascii="方正仿宋_GBK" w:eastAsia="方正仿宋_GBK" w:cs="方正仿宋_GBK"/>
          <w:sz w:val="32"/>
          <w:szCs w:val="32"/>
          <w:lang w:val="en-US" w:eastAsia="zh-CN"/>
        </w:rPr>
        <w:t>一</w:t>
      </w:r>
      <w:r>
        <w:rPr>
          <w:rFonts w:ascii="方正仿宋_GBK" w:eastAsia="方正仿宋_GBK" w:cs="方正仿宋_GBK" w:hint="eastAsia"/>
          <w:sz w:val="32"/>
          <w:szCs w:val="32"/>
          <w:lang w:val="en-US" w:eastAsia="zh-CN"/>
        </w:rPr>
        <w:t>、就本附件中所列的产品特定原产地规则而言：</w:t>
      </w:r>
    </w:p>
    <w:p>
      <w:pPr>
        <w:pStyle w:val="31"/>
        <w:spacing w:after="0" w:line="560" w:lineRule="exact"/>
        <w:ind w:firstLineChars="200" w:firstLine="640"/>
        <w:jc w:val="both"/>
        <w:rPr>
          <w:rFonts w:ascii="方正仿宋_GBK" w:eastAsia="方正仿宋_GBK" w:cs="方正仿宋_GBK" w:hint="eastAsia"/>
          <w:sz w:val="32"/>
          <w:szCs w:val="32"/>
          <w:lang w:val="en-US" w:eastAsia="zh-CN"/>
        </w:rPr>
      </w:pPr>
      <w:r>
        <w:rPr>
          <w:rFonts w:ascii="方正仿宋_GBK" w:eastAsia="方正仿宋_GBK" w:cs="方正仿宋_GBK" w:hint="eastAsia"/>
          <w:sz w:val="32"/>
          <w:szCs w:val="32"/>
          <w:lang w:val="en-US" w:eastAsia="zh-CN"/>
        </w:rPr>
        <w:t>（一）“从任何其他章改变至本章、品目或子目”</w:t>
      </w:r>
      <w:r>
        <w:rPr>
          <w:rFonts w:ascii="方正仿宋_GBK" w:eastAsia="方正仿宋_GBK" w:cs="方正仿宋_GBK"/>
          <w:sz w:val="32"/>
          <w:szCs w:val="32"/>
          <w:lang w:val="en-US" w:eastAsia="zh-CN"/>
        </w:rPr>
        <w:t>，</w:t>
      </w:r>
      <w:r>
        <w:rPr>
          <w:rFonts w:ascii="方正仿宋_GBK" w:eastAsia="方正仿宋_GBK" w:cs="方正仿宋_GBK" w:hint="eastAsia"/>
          <w:sz w:val="32"/>
          <w:szCs w:val="32"/>
          <w:lang w:val="en-US" w:eastAsia="zh-CN"/>
        </w:rPr>
        <w:t>表示用于生产货物的所有非原产材料进行了协调制度编码两位数级的税则归类改变</w:t>
      </w:r>
      <w:r>
        <w:rPr>
          <w:rFonts w:ascii="方正仿宋_GBK" w:eastAsia="方正仿宋_GBK" w:cs="方正仿宋_GBK"/>
          <w:sz w:val="32"/>
          <w:szCs w:val="32"/>
          <w:lang w:val="en-US" w:eastAsia="zh-CN"/>
        </w:rPr>
        <w:t>；</w:t>
      </w:r>
    </w:p>
    <w:p>
      <w:pPr>
        <w:pStyle w:val="31"/>
        <w:spacing w:after="0" w:line="560" w:lineRule="exact"/>
        <w:ind w:firstLineChars="200" w:firstLine="640"/>
        <w:jc w:val="both"/>
        <w:rPr>
          <w:rFonts w:ascii="方正仿宋_GBK" w:eastAsia="方正仿宋_GBK" w:cs="方正仿宋_GBK" w:hint="eastAsia"/>
          <w:sz w:val="32"/>
          <w:szCs w:val="32"/>
          <w:lang w:val="en-US" w:eastAsia="zh-CN"/>
        </w:rPr>
      </w:pPr>
      <w:r>
        <w:rPr>
          <w:rFonts w:ascii="方正仿宋_GBK" w:eastAsia="方正仿宋_GBK" w:cs="方正仿宋_GBK" w:hint="eastAsia"/>
          <w:sz w:val="32"/>
          <w:szCs w:val="32"/>
          <w:lang w:val="en-US" w:eastAsia="zh-CN"/>
        </w:rPr>
        <w:t>（二）“从任何其他品目改变至本章、品目或子目”</w:t>
      </w:r>
      <w:r>
        <w:rPr>
          <w:rFonts w:ascii="方正仿宋_GBK" w:eastAsia="方正仿宋_GBK" w:cs="方正仿宋_GBK"/>
          <w:sz w:val="32"/>
          <w:szCs w:val="32"/>
          <w:lang w:val="en-US" w:eastAsia="zh-CN"/>
        </w:rPr>
        <w:t>，</w:t>
      </w:r>
      <w:r>
        <w:rPr>
          <w:rFonts w:ascii="方正仿宋_GBK" w:eastAsia="方正仿宋_GBK" w:cs="方正仿宋_GBK" w:hint="eastAsia"/>
          <w:sz w:val="32"/>
          <w:szCs w:val="32"/>
          <w:lang w:val="en-US" w:eastAsia="zh-CN"/>
        </w:rPr>
        <w:t>表示用于生产货物的所有非原产材料进行了协调制度编码四位数级的税则归类改变</w:t>
      </w:r>
      <w:r>
        <w:rPr>
          <w:rFonts w:ascii="方正仿宋_GBK" w:eastAsia="方正仿宋_GBK" w:cs="方正仿宋_GBK"/>
          <w:sz w:val="32"/>
          <w:szCs w:val="32"/>
          <w:lang w:val="en-US" w:eastAsia="zh-CN"/>
        </w:rPr>
        <w:t>；</w:t>
      </w:r>
    </w:p>
    <w:p>
      <w:pPr>
        <w:pStyle w:val="23"/>
        <w:spacing w:after="0" w:line="56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sz w:val="32"/>
          <w:szCs w:val="32"/>
        </w:rPr>
        <w:t>（三）</w:t>
      </w:r>
      <w:r>
        <w:rPr>
          <w:rFonts w:ascii="Times New Roman" w:eastAsia="方正仿宋_GBK" w:cs="Times New Roman" w:hAnsi="Times New Roman" w:hint="eastAsia"/>
          <w:sz w:val="32"/>
          <w:szCs w:val="32"/>
        </w:rPr>
        <w:t>“</w:t>
      </w:r>
      <w:r>
        <w:rPr>
          <w:rFonts w:ascii="Times New Roman" w:eastAsia="方正仿宋_GBK" w:cs="Times New Roman" w:hAnsi="Times New Roman"/>
          <w:sz w:val="32"/>
          <w:szCs w:val="32"/>
        </w:rPr>
        <w:t>区域价值成分百分比</w:t>
      </w:r>
      <w:r>
        <w:rPr>
          <w:rFonts w:ascii="Times New Roman" w:eastAsia="方正仿宋_GBK" w:cs="Times New Roman" w:hAnsi="Times New Roman" w:hint="eastAsia"/>
          <w:sz w:val="32"/>
          <w:szCs w:val="32"/>
        </w:rPr>
        <w:t>”</w:t>
      </w:r>
      <w:r>
        <w:rPr>
          <w:rFonts w:ascii="Times New Roman" w:eastAsia="方正仿宋_GBK" w:cs="Times New Roman" w:hAnsi="Times New Roman"/>
          <w:sz w:val="32"/>
          <w:szCs w:val="32"/>
        </w:rPr>
        <w:t>表示按照本办法第六条进行计算的区域价值成分的最小百分比要求；</w:t>
      </w:r>
    </w:p>
    <w:p>
      <w:pPr>
        <w:pStyle w:val="23"/>
        <w:spacing w:after="0" w:line="560" w:lineRule="exact"/>
        <w:ind w:firstLineChars="200" w:firstLine="640"/>
        <w:jc w:val="both"/>
        <w:rPr>
          <w:rFonts w:ascii="Times New Roman" w:eastAsia="方正仿宋_GBK" w:cs="Times New Roman" w:hAnsi="Times New Roman" w:hint="eastAsia"/>
          <w:sz w:val="32"/>
          <w:szCs w:val="32"/>
        </w:rPr>
      </w:pPr>
      <w:r>
        <w:rPr>
          <w:rFonts w:ascii="方正仿宋_GBK" w:eastAsia="方正仿宋_GBK" w:cs="方正仿宋_GBK"/>
          <w:sz w:val="32"/>
          <w:szCs w:val="32"/>
          <w:lang w:val="en-US" w:eastAsia="zh-CN"/>
        </w:rPr>
        <w:t>（四）</w:t>
      </w:r>
      <w:r>
        <w:rPr>
          <w:rFonts w:ascii="方正仿宋_GBK" w:eastAsia="方正仿宋_GBK" w:cs="方正仿宋_GBK" w:hint="eastAsia"/>
          <w:sz w:val="32"/>
          <w:szCs w:val="32"/>
          <w:lang w:val="en-US" w:eastAsia="zh-CN"/>
        </w:rPr>
        <w:t>“完全获得”</w:t>
      </w:r>
      <w:r>
        <w:rPr>
          <w:rFonts w:ascii="方正仿宋_GBK" w:eastAsia="方正仿宋_GBK" w:cs="方正仿宋_GBK"/>
          <w:sz w:val="32"/>
          <w:szCs w:val="32"/>
          <w:lang w:val="en-US" w:eastAsia="zh-CN"/>
        </w:rPr>
        <w:t>表示货物</w:t>
      </w:r>
      <w:r>
        <w:rPr>
          <w:rFonts w:ascii="方正仿宋_GBK" w:eastAsia="方正仿宋_GBK" w:cs="方正仿宋_GBK" w:hint="eastAsia"/>
          <w:sz w:val="32"/>
          <w:szCs w:val="32"/>
          <w:lang w:val="en-US" w:eastAsia="zh-CN"/>
        </w:rPr>
        <w:t>按照本办法第四条规定在中国或者</w:t>
      </w:r>
      <w:r>
        <w:rPr>
          <w:rFonts w:ascii="方正仿宋_GBK" w:eastAsia="方正仿宋_GBK" w:cs="方正仿宋_GBK"/>
          <w:sz w:val="32"/>
          <w:szCs w:val="32"/>
          <w:lang w:val="en-US" w:eastAsia="zh-CN"/>
        </w:rPr>
        <w:t>马尔代夫</w:t>
      </w:r>
      <w:r>
        <w:rPr>
          <w:rFonts w:ascii="方正仿宋_GBK" w:eastAsia="方正仿宋_GBK" w:cs="方正仿宋_GBK" w:hint="eastAsia"/>
          <w:sz w:val="32"/>
          <w:szCs w:val="32"/>
          <w:lang w:val="en-US" w:eastAsia="zh-CN"/>
        </w:rPr>
        <w:t>完全获得或生产。</w:t>
      </w:r>
    </w:p>
    <w:p>
      <w:pPr>
        <w:pStyle w:val="23"/>
        <w:spacing w:after="0" w:line="560" w:lineRule="exact"/>
        <w:ind w:firstLineChars="200" w:firstLine="640"/>
        <w:jc w:val="both"/>
        <w:rPr>
          <w:rFonts w:ascii="方正仿宋_GBK" w:eastAsia="方正仿宋_GBK" w:cs="方正仿宋_GBK" w:hint="eastAsia"/>
          <w:sz w:val="32"/>
          <w:szCs w:val="32"/>
          <w:lang w:val="en-US" w:eastAsia="zh-CN"/>
        </w:rPr>
      </w:pPr>
      <w:r>
        <w:rPr>
          <w:rFonts w:ascii="Times New Roman" w:eastAsia="方正仿宋_GBK" w:cs="Times New Roman" w:hAnsi="Times New Roman"/>
          <w:sz w:val="32"/>
          <w:szCs w:val="32"/>
        </w:rPr>
        <w:t>二、</w:t>
      </w:r>
      <w:r>
        <w:rPr>
          <w:rFonts w:ascii="方正仿宋_GBK" w:eastAsia="方正仿宋_GBK" w:cs="方正仿宋_GBK" w:hint="eastAsia"/>
          <w:sz w:val="32"/>
          <w:szCs w:val="32"/>
          <w:lang w:val="en-US" w:eastAsia="zh-CN"/>
        </w:rPr>
        <w:t>对于按规定可适用废碎料归类的商品，无论是否具体列明，其</w:t>
      </w:r>
      <w:r>
        <w:rPr>
          <w:rFonts w:ascii="方正仿宋_GBK" w:eastAsia="方正仿宋_GBK" w:cs="方正仿宋_GBK"/>
          <w:sz w:val="32"/>
          <w:szCs w:val="32"/>
          <w:lang w:val="en-US" w:eastAsia="zh-CN"/>
        </w:rPr>
        <w:t>产品特定</w:t>
      </w:r>
      <w:r>
        <w:rPr>
          <w:rFonts w:ascii="方正仿宋_GBK" w:eastAsia="方正仿宋_GBK" w:cs="方正仿宋_GBK" w:hint="eastAsia"/>
          <w:sz w:val="32"/>
          <w:szCs w:val="32"/>
          <w:lang w:val="en-US" w:eastAsia="zh-CN"/>
        </w:rPr>
        <w:t>原产地</w:t>
      </w:r>
      <w:r>
        <w:rPr>
          <w:rFonts w:ascii="方正仿宋_GBK" w:eastAsia="方正仿宋_GBK" w:cs="方正仿宋_GBK"/>
          <w:sz w:val="32"/>
          <w:szCs w:val="32"/>
          <w:lang w:val="en-US" w:eastAsia="zh-CN"/>
        </w:rPr>
        <w:t>规则</w:t>
      </w:r>
      <w:r>
        <w:rPr>
          <w:rFonts w:ascii="方正仿宋_GBK" w:eastAsia="方正仿宋_GBK" w:cs="方正仿宋_GBK" w:hint="eastAsia"/>
          <w:sz w:val="32"/>
          <w:szCs w:val="32"/>
          <w:lang w:val="en-US" w:eastAsia="zh-CN"/>
        </w:rPr>
        <w:t>是完全获得。</w:t>
      </w:r>
    </w:p>
    <w:p>
      <w:pPr>
        <w:spacing w:line="560" w:lineRule="exact"/>
        <w:ind w:firstLineChars="200" w:firstLine="640"/>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三、本附件以《协调制度（2022版）》为基础制定。</w:t>
      </w:r>
    </w:p>
    <w:p>
      <w:pPr>
        <w:spacing w:line="560" w:lineRule="exact"/>
        <w:ind w:firstLineChars="200" w:firstLine="640"/>
        <w:rPr>
          <w:rFonts w:ascii="Times New Roman" w:eastAsia="方正仿宋_GBK" w:cs="Times New Roman" w:hAnsi="Times New Roman"/>
          <w:sz w:val="32"/>
          <w:szCs w:val="32"/>
          <w:lang w:val="en-US" w:eastAsia="zh-CN"/>
        </w:rPr>
      </w:pPr>
    </w:p>
    <w:p>
      <w:pPr>
        <w:keepNext w:val="0"/>
        <w:widowControl w:val="0"/>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br w:type="page"/>
      </w:r>
    </w:p>
    <w:p>
      <w:pPr>
        <w:spacing w:line="560" w:lineRule="exact"/>
        <w:ind w:left="0"/>
        <w:rPr>
          <w:rFonts w:ascii="Times New Roman" w:eastAsia="方正仿宋_GBK" w:cs="Times New Roman" w:hAnsi="Times New Roman"/>
          <w:sz w:val="32"/>
          <w:szCs w:val="32"/>
        </w:rPr>
      </w:pPr>
    </w:p>
    <w:tbl>
      <w:tblPr>
        <w:jc w:val="cente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7" w:type="dxa"/>
          <w:bottom w:w="0" w:type="dxa"/>
          <w:right w:w="57" w:type="dxa"/>
        </w:tblCellMar>
      </w:tblPr>
      <w:tblGrid>
        <w:gridCol w:w="1530"/>
        <w:gridCol w:w="4459"/>
        <w:gridCol w:w="3006"/>
      </w:tblGrid>
      <w:tr>
        <w:trPr>
          <w:cantSplit/>
          <w:trHeight w:val="454"/>
          <w:tblHeader/>
        </w:trPr>
        <w:tc>
          <w:tcPr>
            <w:tcW w:w="1530" w:type="dxa"/>
            <w:shd w:val="clear" w:color="auto" w:fill="D9D9D9"/>
            <w:vAlign w:val="center"/>
          </w:tcPr>
          <w:p>
            <w:pPr>
              <w:spacing w:line="560" w:lineRule="exact"/>
              <w:jc w:val="center"/>
              <w:rPr>
                <w:rFonts w:ascii="方正黑体_GBK" w:eastAsia="方正黑体_GBK" w:cs="Times New Roman" w:hint="eastAsia"/>
                <w:sz w:val="32"/>
                <w:szCs w:val="32"/>
              </w:rPr>
            </w:pPr>
            <w:r>
              <w:rPr>
                <w:rFonts w:ascii="方正黑体_GBK" w:eastAsia="方正黑体_GBK" w:cs="Times New Roman" w:hint="eastAsia"/>
                <w:sz w:val="32"/>
                <w:szCs w:val="32"/>
              </w:rPr>
              <w:t>税则号列</w:t>
            </w:r>
          </w:p>
        </w:tc>
        <w:tc>
          <w:tcPr>
            <w:tcW w:w="4459" w:type="dxa"/>
            <w:shd w:val="clear" w:color="auto" w:fill="D9D9D9"/>
            <w:noWrap/>
            <w:vAlign w:val="center"/>
          </w:tcPr>
          <w:p>
            <w:pPr>
              <w:spacing w:line="560" w:lineRule="exact"/>
              <w:jc w:val="center"/>
              <w:rPr>
                <w:rFonts w:ascii="方正黑体_GBK" w:eastAsia="方正黑体_GBK" w:cs="Times New Roman" w:hint="eastAsia"/>
                <w:sz w:val="32"/>
                <w:szCs w:val="32"/>
              </w:rPr>
            </w:pPr>
            <w:r>
              <w:rPr>
                <w:rFonts w:ascii="方正黑体_GBK" w:eastAsia="方正黑体_GBK" w:cs="Times New Roman" w:hint="eastAsia"/>
                <w:sz w:val="32"/>
                <w:szCs w:val="32"/>
              </w:rPr>
              <w:t>商品描述</w:t>
            </w:r>
          </w:p>
        </w:tc>
        <w:tc>
          <w:tcPr>
            <w:tcW w:w="3006" w:type="dxa"/>
            <w:shd w:val="clear" w:color="auto" w:fill="D9D9D9"/>
            <w:vAlign w:val="center"/>
          </w:tcPr>
          <w:p>
            <w:pPr>
              <w:spacing w:line="560" w:lineRule="exact"/>
              <w:jc w:val="center"/>
              <w:rPr>
                <w:rFonts w:ascii="方正黑体_GBK" w:eastAsia="方正黑体_GBK" w:cs="Times New Roman" w:hint="eastAsia"/>
                <w:sz w:val="32"/>
                <w:szCs w:val="32"/>
              </w:rPr>
            </w:pPr>
            <w:r>
              <w:rPr>
                <w:rFonts w:ascii="方正黑体_GBK" w:eastAsia="方正黑体_GBK" w:cs="Times New Roman" w:hint="eastAsia"/>
                <w:sz w:val="32"/>
                <w:szCs w:val="32"/>
              </w:rPr>
              <w:t>产品特定原产地规则</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bCs/>
                <w:sz w:val="32"/>
                <w:szCs w:val="32"/>
              </w:rPr>
            </w:pPr>
            <w:r>
              <w:rPr>
                <w:rFonts w:ascii="Times New Roman" w:eastAsia="方正仿宋_GBK" w:cs="Times New Roman" w:hAnsi="Times New Roman"/>
                <w:bCs/>
                <w:sz w:val="32"/>
                <w:szCs w:val="32"/>
              </w:rPr>
              <w:t>01章</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活动物</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在一方出生并饲养</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bCs/>
                <w:sz w:val="32"/>
                <w:szCs w:val="32"/>
              </w:rPr>
            </w:pPr>
            <w:r>
              <w:rPr>
                <w:rFonts w:ascii="Times New Roman" w:eastAsia="方正仿宋_GBK" w:cs="Times New Roman" w:hAnsi="Times New Roman"/>
                <w:bCs/>
                <w:sz w:val="32"/>
                <w:szCs w:val="32"/>
              </w:rPr>
              <w:t>02章</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肉及食用杂碎</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从一方出生并饲养的动物获得</w:t>
            </w:r>
          </w:p>
        </w:tc>
      </w:tr>
      <w:tr>
        <w:trPr>
          <w:cantSplit/>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0301</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活鱼</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0302</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鲜、冷鱼，但品目0304的鱼片及其他鱼肉除外</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0303</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冻鱼，但品目0304的鱼片及其他鱼肉除外</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0304</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鲜、冷、冻鱼片及其他鱼肉（不论是否绞碎）</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0306</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带壳或去壳的甲壳动物，活、鲜、冷、冻、干、盐腌或盐渍的；熏制的带壳或去壳甲壳动物，不论在熏制前或熏制过程中是否烹煮；蒸过或用水煮过的带壳甲壳动物，不论是否冷、冻、干、盐腌或盐渍的</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0307</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带壳或去壳的软体动物，活、鲜、冷、冻、干、盐腌或盐渍的；熏制的带壳或去壳软体动物，不论在熏制前或熏制过程中是否烹煮</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0308</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不属于甲壳动物及软体动物的水生无脊椎动物，活、鲜、冷、冻、干、盐腌或盐渍的；熏制的不属于甲壳动物及软体动物的水生无脊椎动物，不论在熏制前或熏制过程中是否烹煮</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04章</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乳品；蛋品；天然蜂蜜；其他食用动物产品</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从任何其他章改变至本章</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05章</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其他动物产品</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从任何其他章改变至本章</w:t>
            </w:r>
          </w:p>
        </w:tc>
      </w:tr>
      <w:tr>
        <w:trPr>
          <w:cantSplit/>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0701</w:t>
            </w:r>
          </w:p>
        </w:tc>
        <w:tc>
          <w:tcPr>
            <w:tcW w:w="4459" w:type="dxa"/>
            <w:tcBorders>
              <w:top w:val="single" w:sz="4" w:space="0" w:color="auto"/>
              <w:left w:val="single" w:sz="4" w:space="0" w:color="auto"/>
              <w:right w:val="single" w:sz="4" w:space="0" w:color="auto"/>
            </w:tcBorders>
            <w:noWrap/>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鲜或冷藏的马铃薯</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0702</w:t>
            </w:r>
          </w:p>
        </w:tc>
        <w:tc>
          <w:tcPr>
            <w:tcW w:w="4459" w:type="dxa"/>
            <w:tcBorders>
              <w:top w:val="single" w:sz="4" w:space="0" w:color="auto"/>
              <w:left w:val="single" w:sz="4" w:space="0" w:color="auto"/>
              <w:right w:val="single" w:sz="4" w:space="0" w:color="auto"/>
            </w:tcBorders>
            <w:noWrap/>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鲜或冷藏的番茄</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0703</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鲜或冷藏的洋葱、青葱、大蒜、韭葱及其他葱属蔬菜</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0704</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鲜或冷藏的卷心菜、菜花、球茎甘蓝、羽衣甘蓝及类似的食用芥菜类蔬菜</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0705</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鲜或冷藏的莴苣及菊苣</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0706</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鲜或冷藏的胡萝卜、萝卜、色拉甜菜根、婆罗门参、块根芹、小萝卜及类似的食用根茎</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0707</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鲜或冷藏的黄瓜及小黄瓜</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0708</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鲜或冷藏的豆类蔬菜，不论是否脱荚</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0709</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鲜或冷藏的其他蔬菜</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0710</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冷冻蔬菜（不论是否蒸煮）</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0711</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暂时保藏的蔬菜，但不适于直接食用的</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0712</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干蔬菜，整个、切块、切片、破碎或制成粉状，但未经进一步加工的</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w:t>
            </w:r>
          </w:p>
        </w:tc>
      </w:tr>
      <w:tr>
        <w:trPr>
          <w:cantSplit/>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0713</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脱荚的干豆，不论是否去皮或分瓣</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0714</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鲜、冷、冻或干的木薯、竹芋、兰科植物块茎、菊芋、甘薯及含有高淀粉或菊粉的类似根茎，不论是否切片或制成团粒；西谷茎髓</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w:t>
            </w:r>
          </w:p>
        </w:tc>
      </w:tr>
      <w:tr>
        <w:trPr>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0802</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鲜或干的其他坚果，不论是否去壳或去皮</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0803</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鲜或干的香蕉，包括芭蕉</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0804</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鲜或干的椰枣、无花果、菠萝、鳄梨、番石榴、芒果及山竹果</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0805</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鲜或干的柑橘属水果</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0806</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鲜或干的葡萄</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0807</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鲜的甜瓜</w:t>
            </w:r>
            <w:r>
              <w:rPr>
                <w:rFonts w:ascii="方正仿宋_GBK" w:eastAsia="方正仿宋_GBK" w:cs="方正仿宋_GBK"/>
                <w:sz w:val="32"/>
                <w:szCs w:val="32"/>
              </w:rPr>
              <w:t>（</w:t>
            </w:r>
            <w:r>
              <w:rPr>
                <w:rFonts w:ascii="方正仿宋_GBK" w:eastAsia="方正仿宋_GBK" w:cs="方正仿宋_GBK" w:hint="eastAsia"/>
                <w:sz w:val="32"/>
                <w:szCs w:val="32"/>
              </w:rPr>
              <w:t>包括西瓜</w:t>
            </w:r>
            <w:r>
              <w:rPr>
                <w:rFonts w:ascii="方正仿宋_GBK" w:eastAsia="方正仿宋_GBK" w:cs="方正仿宋_GBK"/>
                <w:sz w:val="32"/>
                <w:szCs w:val="32"/>
              </w:rPr>
              <w:t>）</w:t>
            </w:r>
            <w:r>
              <w:rPr>
                <w:rFonts w:ascii="方正仿宋_GBK" w:eastAsia="方正仿宋_GBK" w:cs="方正仿宋_GBK" w:hint="eastAsia"/>
                <w:sz w:val="32"/>
                <w:szCs w:val="32"/>
              </w:rPr>
              <w:t xml:space="preserve"> </w:t>
            </w:r>
            <w:r>
              <w:rPr>
                <w:rFonts w:ascii="Times New Roman" w:eastAsia="方正仿宋_GBK" w:cs="Times New Roman" w:hAnsi="Times New Roman"/>
                <w:sz w:val="32"/>
                <w:szCs w:val="32"/>
              </w:rPr>
              <w:t>及番木瓜</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0808</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鲜的苹果、梨及榅桲</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0809</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鲜的杏、樱桃、</w:t>
            </w:r>
            <w:r>
              <w:rPr>
                <w:rFonts w:ascii="方正仿宋_GBK" w:eastAsia="方正仿宋_GBK" w:cs="方正仿宋_GBK" w:hint="eastAsia"/>
                <w:sz w:val="32"/>
                <w:szCs w:val="32"/>
              </w:rPr>
              <w:t>桃</w:t>
            </w:r>
            <w:r>
              <w:rPr>
                <w:rFonts w:ascii="方正仿宋_GBK" w:eastAsia="方正仿宋_GBK" w:cs="方正仿宋_GBK"/>
                <w:sz w:val="32"/>
                <w:szCs w:val="32"/>
              </w:rPr>
              <w:t>（</w:t>
            </w:r>
            <w:r>
              <w:rPr>
                <w:rFonts w:ascii="方正仿宋_GBK" w:eastAsia="方正仿宋_GBK" w:cs="方正仿宋_GBK" w:hint="eastAsia"/>
                <w:sz w:val="32"/>
                <w:szCs w:val="32"/>
              </w:rPr>
              <w:t>包括油桃</w:t>
            </w:r>
            <w:r>
              <w:rPr>
                <w:rFonts w:ascii="方正仿宋_GBK" w:eastAsia="方正仿宋_GBK" w:cs="方正仿宋_GBK"/>
                <w:sz w:val="32"/>
                <w:szCs w:val="32"/>
              </w:rPr>
              <w:t>）</w:t>
            </w:r>
            <w:r>
              <w:rPr>
                <w:rFonts w:ascii="Times New Roman" w:eastAsia="方正仿宋_GBK" w:cs="Times New Roman" w:hAnsi="Times New Roman"/>
                <w:sz w:val="32"/>
                <w:szCs w:val="32"/>
              </w:rPr>
              <w:t>、李及黑刺李</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0810</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其他鲜果</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0813</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税号0801至0806以外的干果；本章的什锦坚果或干果</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0814</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柑橘属水果或甜瓜（包括西瓜）的果皮，鲜、冻、干或用盐水、亚硫酸水或其他防腐液暂时保藏的</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w:t>
            </w:r>
          </w:p>
        </w:tc>
      </w:tr>
      <w:tr>
        <w:trPr>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0901.11</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未焙炒的咖啡，未浸除咖啡碱</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从任何其他章改变至本子目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0901.12</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未焙炒的咖啡，已浸除咖啡碱</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从任何其他章改变至本子目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0901.21</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已焙炒的咖啡，未浸除咖啡碱</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从任何其他品目改变至本子目，且满足区域价值成分40%</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0901.22</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已焙炒的咖啡，已浸除咖啡碱</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从任何其他品目改变至本子目，且满足区域价值成分40%</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0901.90</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咖啡豆荚及咖啡豆皮；含咖啡的咖啡代用品</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从任何其他品目改变至本子目，且满足区域价值成分40%</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0902</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茶，不论是否加香料</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10章</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谷物</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完全获得</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12章</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含油子仁及果实；杂项子仁及果实；工业用或药用植物；稻草、秸秆及饲料</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从任何其他章改变至本章</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1507</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豆油及其分离品，不论是否精制，但未经化学改性</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完全获得</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1508</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花生油及其分离品，不论是否精制，但未经化学改性</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完全获得</w:t>
            </w:r>
          </w:p>
        </w:tc>
      </w:tr>
      <w:tr>
        <w:trPr>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1509</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油橄榄油及其分离品，不论是否精制，但未经化学改性</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完全获得</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1510</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其他橄榄油及其分离品，不论是否精制，但未经化学改性，包括掺有税号1509的油或分离品的混合物</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完全获得</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1511</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棕榈油及其分离品，不论是否精制，但未经化学改性</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完全获得</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1512</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葵花油、红花油或棉子油及其分离品，不论是否精制，但未经化学改性</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完全获得</w:t>
            </w:r>
          </w:p>
        </w:tc>
      </w:tr>
      <w:tr>
        <w:trPr>
          <w:cantSplit/>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1513.11</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初榨椰子油</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从任何其他章改变至本子目</w:t>
            </w:r>
          </w:p>
        </w:tc>
      </w:tr>
      <w:tr>
        <w:trPr>
          <w:cantSplit/>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1513.19</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椰子油及其分离品</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从任何其他章改变至本子目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1514</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菜子油或芥子油及其分离品，不论是否精制，但未经化学改性</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完全获得</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1515</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其他固定植物油、脂（包括希蒙得木油）及其分离品，不论是否精制，但未经化学改性</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完全获得</w:t>
            </w:r>
          </w:p>
        </w:tc>
      </w:tr>
      <w:tr>
        <w:trPr>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1517</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人造黄油；本章各种动、植物油、脂及其分离品混合制成的食用油、脂或制品，但品目1516的食用油、脂及其分离品除外</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完全获得</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16章</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肉、鱼、甲壳动物、软体动物及其他水生无脊椎动物的制品</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从任何其他章改变至本章</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1701</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固体甘蔗糖、甜菜糖及化学纯蔗糖</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完全获得</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1702</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其他固体糖，包括化学纯乳糖、麦芽糖、葡萄糖及果糖；未加香料或着色剂的糖浆；人造蜜，不论是否掺有天然蜂蜜；焦糖</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1703</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制糖后所剩的糖蜜</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1704</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不含可可的糖食（包括白巧克力）</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从任何其他品目改变至本品目，或者区域价值成分40%</w:t>
            </w:r>
          </w:p>
        </w:tc>
      </w:tr>
      <w:tr>
        <w:trPr>
          <w:cantSplit/>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1801</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整颗或破碎的可可豆，生的或焙炒的</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1802</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可可荚、壳、皮及废料</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1803</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可可膏，不论是否脱脂</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1804</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可可脂、可可油</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1805</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未加糖或其他甜物质的可可粉</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1901.10</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供婴幼儿食用的零售包装食品</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从任何其他章改变至本子目，但从第4章改变至本子目除外。</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1901.20</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供烘焙税号1905所列面包糕饼用的调制品及面团</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从任何其他章改变至本子目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1901.90</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其他</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从任何其他章改变至本子目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1902.11</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含蛋</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从任何其他章改变至本子目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1902.19</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其他</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从任何其他章改变至本子目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1902.20</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包馅面食，不论是否烹煮或经其他方法制作</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从任何其他品目改变至本子目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1902.30</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其他面食</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从任何其他品目改变至本子目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1902.40</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古斯古斯面食</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从任何其他品目改变至本子目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1903</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珍粉及淀粉制成的珍粉代用品，片、粒、珠、粉或类似形状的</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w:t>
            </w:r>
          </w:p>
        </w:tc>
      </w:tr>
      <w:tr>
        <w:trPr>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1904</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谷物或谷物产品经膨化或烘炒制成的食品（例如，玉米片）；其他税目未列名的预煮或经其他方法制作的谷粒</w:t>
            </w:r>
            <w:r>
              <w:rPr>
                <w:rFonts w:ascii="方正仿宋_GBK" w:eastAsia="方正仿宋_GBK" w:cs="方正仿宋_GBK" w:hint="eastAsia"/>
                <w:sz w:val="32"/>
                <w:szCs w:val="32"/>
              </w:rPr>
              <w:t>(玉米除外)</w:t>
            </w:r>
            <w:r>
              <w:rPr>
                <w:rFonts w:ascii="Times New Roman" w:eastAsia="方正仿宋_GBK" w:cs="Times New Roman" w:hAnsi="Times New Roman"/>
                <w:sz w:val="32"/>
                <w:szCs w:val="32"/>
              </w:rPr>
              <w:t>，谷物片或经其他加工的谷粒（细粉、粗粒及粗粉除外）</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1905</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面包、糕点、饼干及其他烘焙糕饼，不论是否含可可；圣餐饼、装药空囊、封缄、糯米纸及类似制品</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20章</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蔬菜、水果、坚果或植物其他部分的制品</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从任何其他章改变至本章</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2103</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调味汁及其制品；混合调味品；芥子粉及其调制品</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2104</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汤料及其制品；均化混合食品</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2106</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其他税号未列名的食品</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2301</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不适于供人食用的肉、杂碎、鱼、甲壳动物、软体动物或其他水生无脊椎动物的渣粉及团粒；油渣</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2306</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税号2304或2305以外的提炼植物或微生物油脂所得的油渣饼及其他固体残渣，不论是否碾磨或制成团粒</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w:t>
            </w:r>
          </w:p>
        </w:tc>
      </w:tr>
      <w:tr>
        <w:trPr>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2309</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配制的动物饲料</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3304</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美容品或化妆品及护肤品（药品除外），包括防晒油或晒黑油；指（趾）甲化妆品</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从任何其他品目改变至本品目，或者区域价值成分40%</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3305</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护发品</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从任何其他品目改变至本品目，或者区域价值成分40%</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4001</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天然橡胶、巴拉塔胶、古塔波胶、银胶菊胶、糖胶树胶及类似的天然树胶，初级形状或板、片、带</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4202</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衣箱、提箱、小手袋、公文箱、公文包、书包、眼镜盒、望远镜盒、照相机套、乐器盒、枪套及类似容器；旅行包、食品或饮料保温包、化妆包、帆布包、手提包、购物袋、钱夹、钱包、地图盒、烟盒、烟袋、工具包、运动包、瓶盒、首饰盒、粉盒、刀叉餐具盒及类似容器，用皮革或再生皮革、塑料片、纺织材料、钢纸或纸板制成，或者全部或主要用上述材料或纸包覆制成</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从任何其他品目改变至本品目，或者区域价值成分35%</w:t>
            </w:r>
          </w:p>
        </w:tc>
      </w:tr>
      <w:tr>
        <w:trPr>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4414</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木制的画框、相框、镜框及类似品</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从任何其他品目改变至本品目，或者区域价值成分35%</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4415</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包装木箱、木盒、板条箱、圆桶及类似的木制包装容器；木制电缆卷筒；木托板、箱形托盘及其他装载用木板；木制的托盘护框</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4417</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木制的工具、工具支架、工具柄、扫帚及刷子的身及柄；木制鞋靴楦及楦头</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46章</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稻草、秸杆、针茅或其他编结材料制品；篮筐及柳编条编结品</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从任何其他品目改变至本章</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4817</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纸或纸板制的信封、封缄信片、素色明信片及通信卡片；纸或纸板制的盒子、袋子及夹子，内装各种纸制文具</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4819</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纸、纸板、纤维素絮纸或纤维素纤维网纸制的箱、盒、匣、袋及其他包装容器；纸或纸板制的卷宗盒、信件盘及类似品，供办公室、商店及类似场所使用的</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4909</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印刷或有图画的明信片；印有个人问候、祝贺、通告的卡片，不论是否有图画、带信封或饰边</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w:t>
            </w:r>
          </w:p>
        </w:tc>
      </w:tr>
      <w:tr>
        <w:trPr>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4910</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印刷的各种日历，包括日历芯</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4911</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其他印刷品，包括印刷的图片及照片</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5201</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未梳的棉花</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5202</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废棉（包括废棉纱线及回收纤维）</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完全获得</w:t>
            </w:r>
          </w:p>
        </w:tc>
      </w:tr>
      <w:tr>
        <w:trPr>
          <w:cantSplit/>
          <w:trHeight w:val="454"/>
        </w:trPr>
        <w:tc>
          <w:tcPr>
            <w:tcW w:w="1530" w:type="dxa"/>
            <w:tcBorders>
              <w:top w:val="single" w:sz="4" w:space="0" w:color="auto"/>
              <w:left w:val="single" w:sz="4" w:space="0" w:color="auto"/>
              <w:right w:val="single" w:sz="4" w:space="0" w:color="auto"/>
            </w:tcBorders>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5203</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已梳的棉花</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从任何其他章改变至本品目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5702.20</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椰壳纤维制的铺地制品</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从任何其他品目改变至本子目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5807</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非绣制的纺织材料制标签、徽章及类似品，成匹、成条或裁成一定形状或尺寸</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5808</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成匹的编带；非绣制的成匹装饰带，但针织或钩编的除外；流苏、绒球及类似制品</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5810</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成匹、成条或成小块图案的刺绣品</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w:t>
            </w:r>
          </w:p>
        </w:tc>
      </w:tr>
      <w:tr>
        <w:trPr>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61章</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针织或钩编的服装及衣着附件</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1. 从下列材料经过裁剪和部件车缝制成成品（对于服装和帐篷）并且经过刺绣、修饰或印花工序（对于制成品）：</w:t>
              <w:br/>
              <w:t>—未经加工或未漂白的织物。</w:t>
              <w:br/>
              <w:t>—经整理的织物。</w:t>
            </w:r>
          </w:p>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或者</w:t>
              <w:br/>
              <w:t>2. 在可见位置的刺绣、修饰或印花。</w:t>
            </w:r>
          </w:p>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并且区域价值成分不少于35%。</w:t>
            </w:r>
          </w:p>
        </w:tc>
      </w:tr>
      <w:tr>
        <w:trPr>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62章</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非针织或非钩编的服装及衣着附件</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1. 从下列材料经过裁剪和部件车缝制成成品（对于服装和帐篷）并且经过刺绣、修饰或印花工序（对于制成品）：</w:t>
              <w:br/>
              <w:t>—未经加工或未漂白的织物。</w:t>
              <w:br/>
              <w:t>—经整理的织物。</w:t>
            </w:r>
          </w:p>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或者</w:t>
              <w:br/>
              <w:t>2. 在可见位置的刺绣、修饰或印花。</w:t>
            </w:r>
          </w:p>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并且区域价值成分不少于35%。</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63章</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其他纺织制成品；成套物品；旧衣着及旧纺织品；碎织物</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1. 从下列材料经过裁剪和部件车缝制成成品（对于服装和帐篷）并且经过刺绣、修饰或印花工序（对于制成品）：</w:t>
              <w:br/>
              <w:t>—未经加工或未漂白的织物。</w:t>
              <w:br/>
              <w:t>—经整理的织物。</w:t>
            </w:r>
          </w:p>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或者</w:t>
              <w:br/>
              <w:t>2. 在可见位置的刺绣、修饰或印花。</w:t>
            </w:r>
          </w:p>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并且区域价值成分不少于35%。</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64章</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鞋靴、护腿和类似品及其零件</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从任何其他品目改变至本章，或者区域价值成分40%</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65章</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帽类及其零件</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从任何其他品目改变至本章，或者区域价值成分40%</w:t>
            </w:r>
          </w:p>
        </w:tc>
      </w:tr>
      <w:tr>
        <w:trPr>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7019.90</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玻璃纤维（包括玻璃棉）及其制品（例如，玻璃纤维纱线及其织物）</w:t>
            </w:r>
          </w:p>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—其他</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从任何其他子目改变至本子目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7113</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贵金属或包贵金属制的首饰及其零件</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7114</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贵金属或包贵金属制的金银器及其零件</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7115</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贵金属或包贵金属的其它制品</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7116</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用天然或养殖珍珠、宝石或半宝石（天然、合成或再造）制成的物品</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7117</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仿首饰</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从任何其他品目改变至本品目，或者区域价值成分35%</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9701</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油画、粉画及其他手绘画，但带有手工绘制及手工描饰的制品或品目4906的图纸除外；拼贴画、镶嵌画及类似装饰板</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9702</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雕版画、印制画、石印画的原本</w:t>
            </w:r>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w:t>
            </w:r>
          </w:p>
        </w:tc>
      </w:tr>
      <w:tr>
        <w:trPr>
          <w:cantSplit/>
          <w:trHeight w:val="454"/>
        </w:trPr>
        <w:tc>
          <w:tcPr>
            <w:tcW w:w="1530" w:type="dxa"/>
            <w:tcBorders>
              <w:top w:val="single" w:sz="4" w:space="0" w:color="auto"/>
              <w:left w:val="single" w:sz="4" w:space="0" w:color="auto"/>
              <w:right w:val="single" w:sz="4" w:space="0" w:color="auto"/>
            </w:tcBorders>
            <w:noWrap/>
            <w:vAlign w:val="center"/>
          </w:tcPr>
          <w:p>
            <w:pPr>
              <w:spacing w:line="56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9703</w:t>
            </w:r>
          </w:p>
        </w:tc>
        <w:tc>
          <w:tcPr>
            <w:tcW w:w="4459" w:type="dxa"/>
            <w:tcBorders>
              <w:top w:val="single" w:sz="4" w:space="0" w:color="auto"/>
              <w:left w:val="single" w:sz="4" w:space="0" w:color="auto"/>
              <w:right w:val="single" w:sz="4" w:space="0" w:color="auto"/>
            </w:tcBorders>
            <w:vAlign w:val="center"/>
          </w:tcPr>
          <w:p>
            <w:pPr>
              <w:spacing w:line="560" w:lineRule="exact"/>
              <w:rPr>
                <w:rFonts w:ascii="Times New Roman" w:eastAsia="方正仿宋_GBK" w:cs="Times New Roman" w:hAnsi="Times New Roman"/>
                <w:sz w:val="32"/>
                <w:szCs w:val="32"/>
              </w:rPr>
            </w:pPr>
            <w:bookmarkStart w:id="0" w:name="RANGE!D125"/>
            <w:r>
              <w:rPr>
                <w:rFonts w:ascii="Times New Roman" w:eastAsia="方正仿宋_GBK" w:cs="Times New Roman" w:hAnsi="Times New Roman"/>
                <w:sz w:val="32"/>
                <w:szCs w:val="32"/>
              </w:rPr>
              <w:t>各种材料制的雕塑品原件</w:t>
            </w:r>
            <w:bookmarkEnd w:id="0"/>
          </w:p>
        </w:tc>
        <w:tc>
          <w:tcPr>
            <w:tcW w:w="3006" w:type="dxa"/>
            <w:vAlign w:val="center"/>
          </w:tcPr>
          <w:p>
            <w:pPr>
              <w:spacing w:line="56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从任何其他品目改变至本品目</w:t>
            </w:r>
          </w:p>
        </w:tc>
      </w:tr>
    </w:tbl>
    <w:p>
      <w:pPr>
        <w:spacing w:line="560" w:lineRule="exact"/>
        <w:rPr>
          <w:rFonts w:ascii="Times New Roman" w:eastAsia="方正仿宋_GBK" w:cs="Times New Roman" w:hAnsi="Times New Roman"/>
          <w:sz w:val="32"/>
          <w:szCs w:val="32"/>
        </w:rPr>
      </w:pPr>
    </w:p>
    <w:sectPr>
      <w:footerReference w:type="default" r:id="rId2"/>
      <w:pgSz w:w="11906" w:h="16838"/>
      <w:pgMar w:top="1440" w:right="1800" w:bottom="1440" w:left="1800"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variable"/>
    <w:sig w:usb0="00000001" w:usb1="080E0000" w:usb2="00000010" w:usb3="00000000" w:csb0="00040000" w:csb1="00000000"/>
  </w:font>
  <w:font w:name="方正小标宋_GBK">
    <w:panose1 w:val="02000000000000000000"/>
    <w:charset w:val="86"/>
    <w:family w:val="script"/>
    <w:pitch w:val="variable"/>
    <w:sig w:usb0="A00002BF" w:usb1="38CF7CFA" w:usb2="00082016" w:usb3="00000000" w:csb0="00040001" w:csb1="00000000"/>
  </w:font>
  <w:font w:name="方正仿宋_GBK">
    <w:panose1 w:val="03000509000000000000"/>
    <w:charset w:val="86"/>
    <w:family w:val="script"/>
    <w:pitch w:val="variable"/>
    <w:sig w:usb0="00000001" w:usb1="080E0000" w:usb2="00000010" w:usb3="00000000" w:csb0="00040000" w:csb1="00000000"/>
  </w:font>
  <w:font w:name="宋体">
    <w:altName w:val="华文宋体"/>
    <w:panose1 w:val="02010600030101010101"/>
    <w:charset w:val="86"/>
    <w:family w:val="auto"/>
    <w:pitch w:val="variable"/>
    <w:sig w:usb0="00000003" w:usb1="288F0000" w:usb2="00000016"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 w:name="Arial">
    <w:altName w:val="DejaVu Sans"/>
    <w:panose1 w:val="020B0604020202020204"/>
    <w:charset w:val="00"/>
    <w:family w:val="auto"/>
    <w:pitch w:val="variable"/>
    <w:sig w:usb0="00007A87" w:usb1="80000000" w:usb2="00000008" w:usb3="00000000" w:csb0="400001FF" w:csb1="FFFF0000"/>
  </w:font>
  <w:font w:name="黑体">
    <w:altName w:val="华文细黑"/>
    <w:panose1 w:val="02010609060101010101"/>
    <w:charset w:val="86"/>
    <w:family w:val="modern"/>
    <w:pitch w:val="variable"/>
    <w:sig w:usb0="800002BF" w:usb1="38CF7CFA" w:usb2="00000016" w:usb3="00000000" w:csb0="00040001" w:csb1="00000000"/>
  </w:font>
  <w:font w:name="等线">
    <w:altName w:val="方正黑体_GBK"/>
    <w:panose1 w:val="02010600030101010101"/>
    <w:charset w:val="86"/>
    <w:family w:val="auto"/>
    <w:pitch w:val="variable"/>
    <w:sig w:usb0="A00002BF" w:usb1="38CF7CFA" w:usb2="00000016" w:usb3="00000000" w:csb0="0004000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jc w:val="center"/>
      <w:rPr>
        <w:rFonts w:ascii="Times New Roman" w:cs="Times New Roman" w:hAnsi="Times New Roman"/>
        <w:sz w:val="21"/>
        <w:szCs w:val="21"/>
      </w:rPr>
    </w:pPr>
    <w:r>
      <w:rPr>
        <w:rFonts w:ascii="Times New Roman" w:cs="Times New Roman" w:hAnsi="Times New Roman"/>
        <w:sz w:val="21"/>
        <w:szCs w:val="21"/>
      </w:rPr>
      <w:fldChar w:fldCharType="begin"/>
    </w:r>
    <w:r>
      <w:rPr>
        <w:rFonts w:ascii="Times New Roman" w:cs="Times New Roman" w:hAnsi="Times New Roman"/>
        <w:sz w:val="21"/>
        <w:szCs w:val="21"/>
      </w:rPr>
      <w:instrText>PAGE   \* MERGEFORMAT</w:instrText>
    </w:r>
    <w:r>
      <w:rPr>
        <w:rFonts w:ascii="Times New Roman" w:cs="Times New Roman" w:hAnsi="Times New Roman"/>
        <w:sz w:val="21"/>
        <w:szCs w:val="21"/>
      </w:rPr>
      <w:fldChar w:fldCharType="separate"/>
    </w:r>
    <w:r>
      <w:rPr>
        <w:rFonts w:ascii="Times New Roman" w:cs="Times New Roman" w:hAnsi="Times New Roman"/>
        <w:sz w:val="21"/>
        <w:szCs w:val="21"/>
        <w:lang w:val="zh-CN"/>
      </w:rPr>
      <w:t>- 1 -</w:t>
    </w:r>
    <w:r>
      <w:rPr>
        <w:rFonts w:ascii="Times New Roman" w:cs="Times New Roman" w:hAnsi="Times New Roman"/>
        <w:sz w:val="21"/>
        <w:szCs w:val="21"/>
      </w:rP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90"/>
  <w:doNotDisplayPageBoundaries/>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customStyle="1" w:styleId="15">
    <w:name w:val="章"/>
    <w:basedOn w:val="0"/>
    <w:pPr>
      <w:keepNext/>
      <w:keepLines/>
      <w:widowControl/>
      <w:spacing w:beforeLines="100" w:before="100" w:afterLines="100" w:after="100"/>
      <w:jc w:val="center"/>
      <w:outlineLvl w:val="0"/>
    </w:pPr>
    <w:rPr>
      <w:rFonts w:ascii="Times New Roman" w:eastAsia="黑体" w:hAnsi="Times New Roman"/>
      <w:b/>
      <w:sz w:val="32"/>
      <w:szCs w:val="32"/>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footer"/>
    <w:basedOn w:val="0"/>
    <w:pPr>
      <w:tabs>
        <w:tab w:val="center" w:pos="4153"/>
        <w:tab w:val="right" w:pos="8306"/>
      </w:tabs>
      <w:snapToGrid w:val="0"/>
      <w:jc w:val="left"/>
    </w:pPr>
    <w:rPr>
      <w:sz w:val="18"/>
      <w:szCs w:val="18"/>
    </w:rPr>
  </w:style>
  <w:style w:type="character" w:styleId="18">
    <w:name w:val="annotation reference"/>
    <w:basedOn w:val="10"/>
    <w:rPr>
      <w:sz w:val="21"/>
      <w:szCs w:val="21"/>
    </w:rPr>
  </w:style>
  <w:style w:type="paragraph" w:styleId="19">
    <w:name w:val="annotation text"/>
    <w:basedOn w:val="0"/>
    <w:pPr>
      <w:jc w:val="left"/>
    </w:pPr>
  </w:style>
  <w:style w:type="paragraph" w:styleId="20">
    <w:name w:val="annotation subject"/>
    <w:basedOn w:val="19"/>
    <w:next w:val="19"/>
    <w:rPr>
      <w:b/>
      <w:bCs/>
    </w:rPr>
  </w:style>
  <w:style w:type="paragraph" w:styleId="21">
    <w:name w:val="Balloon Text"/>
    <w:basedOn w:val="0"/>
    <w:rPr>
      <w:sz w:val="18"/>
      <w:szCs w:val="18"/>
    </w:rPr>
  </w:style>
  <w:style w:type="paragraph" w:customStyle="1" w:styleId="22">
    <w:name w:val="Revision"/>
    <w:rPr>
      <w:rFonts w:ascii="Calibri" w:eastAsia="宋体" w:cs="Arial" w:hAnsi="Calibri"/>
      <w:kern w:val="2"/>
      <w:sz w:val="21"/>
      <w:szCs w:val="22"/>
      <w:lang w:val="en-US" w:eastAsia="zh-CN" w:bidi="ar-SA"/>
    </w:rPr>
  </w:style>
  <w:style w:type="paragraph" w:customStyle="1" w:styleId="23">
    <w:name w:val="样式 11 磅"/>
    <w:pPr>
      <w:spacing w:after="160" w:line="259" w:lineRule="auto"/>
    </w:pPr>
    <w:rPr>
      <w:rFonts w:ascii="等线" w:eastAsia="等线" w:cs="Arial"/>
      <w:sz w:val="22"/>
      <w:szCs w:val="22"/>
      <w:lang w:val="en-GB" w:eastAsia="en-GB" w:bidi="ar-SA"/>
    </w:rPr>
  </w:style>
  <w:style w:type="paragraph" w:customStyle="1" w:styleId="24">
    <w:name w:val="样式 10 磅"/>
    <w:pPr>
      <w:widowControl w:val="0"/>
      <w:jc w:val="both"/>
    </w:pPr>
    <w:rPr>
      <w:rFonts w:ascii="Calibri" w:eastAsia="宋体" w:cs="Arial" w:hAnsi="Calibri"/>
      <w:kern w:val="2"/>
      <w:sz w:val="21"/>
      <w:szCs w:val="22"/>
      <w:lang w:val="en-US" w:eastAsia="zh-CN" w:bidi="ar-SA"/>
    </w:rPr>
  </w:style>
  <w:style w:type="paragraph" w:customStyle="1" w:styleId="25">
    <w:name w:val="样式 1 10 磅"/>
    <w:pPr>
      <w:widowControl w:val="0"/>
      <w:jc w:val="both"/>
    </w:pPr>
    <w:rPr>
      <w:rFonts w:ascii="Calibri" w:eastAsia="宋体" w:cs="Arial" w:hAnsi="Calibri"/>
      <w:kern w:val="2"/>
      <w:sz w:val="21"/>
      <w:szCs w:val="22"/>
      <w:lang w:val="en-US" w:eastAsia="zh-CN" w:bidi="ar-SA"/>
    </w:rPr>
  </w:style>
  <w:style w:type="paragraph" w:customStyle="1" w:styleId="26">
    <w:name w:val="样式 2 10 磅"/>
    <w:pPr>
      <w:widowControl w:val="0"/>
      <w:jc w:val="both"/>
    </w:pPr>
    <w:rPr>
      <w:rFonts w:ascii="Calibri" w:eastAsia="宋体" w:cs="Arial" w:hAnsi="Calibri"/>
      <w:kern w:val="2"/>
      <w:sz w:val="21"/>
      <w:szCs w:val="22"/>
      <w:lang w:val="en-US" w:eastAsia="zh-CN" w:bidi="ar-SA"/>
    </w:rPr>
  </w:style>
  <w:style w:type="paragraph" w:customStyle="1" w:styleId="27">
    <w:name w:val="样式 3 10 磅"/>
    <w:pPr>
      <w:widowControl w:val="0"/>
      <w:jc w:val="both"/>
    </w:pPr>
    <w:rPr>
      <w:rFonts w:ascii="Calibri" w:eastAsia="宋体" w:cs="Arial" w:hAnsi="Calibri"/>
      <w:kern w:val="2"/>
      <w:sz w:val="21"/>
      <w:szCs w:val="22"/>
      <w:lang w:val="en-US" w:eastAsia="zh-CN" w:bidi="ar-SA"/>
    </w:rPr>
  </w:style>
  <w:style w:type="paragraph" w:customStyle="1" w:styleId="28">
    <w:name w:val="样式 1 11 磅"/>
    <w:pPr>
      <w:spacing w:after="160" w:line="259" w:lineRule="auto"/>
    </w:pPr>
    <w:rPr>
      <w:rFonts w:ascii="等线" w:eastAsia="等线" w:cs="Arial"/>
      <w:sz w:val="22"/>
      <w:szCs w:val="22"/>
      <w:lang w:val="en-GB" w:eastAsia="en-GB" w:bidi="ar-SA"/>
    </w:rPr>
  </w:style>
  <w:style w:type="paragraph" w:customStyle="1" w:styleId="29">
    <w:name w:val="样式 2 11 磅"/>
    <w:pPr>
      <w:spacing w:after="160" w:line="259" w:lineRule="auto"/>
    </w:pPr>
    <w:rPr>
      <w:rFonts w:ascii="等线" w:eastAsia="等线" w:cs="Arial"/>
      <w:sz w:val="22"/>
      <w:szCs w:val="22"/>
      <w:lang w:val="en-GB" w:eastAsia="en-GB" w:bidi="ar-SA"/>
    </w:rPr>
  </w:style>
  <w:style w:type="paragraph" w:customStyle="1" w:styleId="30">
    <w:name w:val="样式 3 11 磅"/>
    <w:pPr>
      <w:spacing w:after="160" w:line="259" w:lineRule="auto"/>
    </w:pPr>
    <w:rPr>
      <w:rFonts w:ascii="等线" w:eastAsia="等线" w:cs="Arial"/>
      <w:sz w:val="22"/>
      <w:szCs w:val="22"/>
      <w:lang w:val="en-GB" w:eastAsia="en-GB" w:bidi="ar-SA"/>
    </w:rPr>
  </w:style>
  <w:style w:type="paragraph" w:customStyle="1" w:styleId="31">
    <w:name w:val="样式 4 11 磅"/>
    <w:pPr>
      <w:spacing w:after="160" w:line="259" w:lineRule="auto"/>
    </w:pPr>
    <w:rPr>
      <w:rFonts w:ascii="等线" w:eastAsia="等线" w:cs="Arial"/>
      <w:sz w:val="22"/>
      <w:szCs w:val="22"/>
      <w:lang w:val="en-GB" w:eastAsia="en-GB" w:bidi="ar-SA"/>
    </w:rPr>
  </w:style>
  <w:style w:type="paragraph" w:customStyle="1" w:styleId="32">
    <w:name w:val="样式 5 11 磅"/>
    <w:pPr>
      <w:spacing w:after="160" w:line="259" w:lineRule="auto"/>
    </w:pPr>
    <w:rPr>
      <w:rFonts w:ascii="等线" w:eastAsia="等线" w:cs="Arial"/>
      <w:sz w:val="22"/>
      <w:szCs w:val="22"/>
      <w:lang w:val="en-GB" w:eastAsia="en-GB" w:bidi="ar-SA"/>
    </w:rPr>
  </w:style>
  <w:style w:type="paragraph" w:customStyle="1" w:styleId="33">
    <w:name w:val="样式 6 11 磅"/>
    <w:pPr>
      <w:spacing w:after="160" w:line="259" w:lineRule="auto"/>
    </w:pPr>
    <w:rPr>
      <w:rFonts w:ascii="等线" w:eastAsia="等线" w:cs="Arial"/>
      <w:sz w:val="22"/>
      <w:szCs w:val="22"/>
      <w:lang w:val="en-GB" w:eastAsia="en-GB" w:bidi="ar-SA"/>
    </w:rPr>
  </w:style>
  <w:style w:type="paragraph" w:customStyle="1" w:styleId="34">
    <w:name w:val="样式 7 11 磅"/>
    <w:pPr>
      <w:spacing w:after="160" w:line="259" w:lineRule="auto"/>
    </w:pPr>
    <w:rPr>
      <w:rFonts w:ascii="等线" w:eastAsia="等线" w:cs="Arial"/>
      <w:sz w:val="22"/>
      <w:szCs w:val="22"/>
      <w:lang w:val="en-GB" w:eastAsia="en-GB" w:bidi="ar-SA"/>
    </w:rPr>
  </w:style>
  <w:style w:type="paragraph" w:customStyle="1" w:styleId="35">
    <w:name w:val="样式 8 11 磅"/>
    <w:pPr>
      <w:spacing w:after="160" w:line="259" w:lineRule="auto"/>
    </w:pPr>
    <w:rPr>
      <w:rFonts w:ascii="等线" w:eastAsia="等线" w:cs="Arial"/>
      <w:sz w:val="22"/>
      <w:szCs w:val="22"/>
      <w:lang w:val="en-GB" w:eastAsia="en-GB" w:bidi="ar-SA"/>
    </w:rPr>
  </w:style>
  <w:style w:type="paragraph" w:customStyle="1" w:styleId="36">
    <w:name w:val="样式 9 11 磅"/>
    <w:pPr>
      <w:spacing w:after="160" w:line="259" w:lineRule="auto"/>
    </w:pPr>
    <w:rPr>
      <w:rFonts w:ascii="等线" w:eastAsia="等线" w:cs="Arial"/>
      <w:sz w:val="22"/>
      <w:szCs w:val="22"/>
      <w:lang w:val="en-GB" w:eastAsia="en-GB"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121</TotalTime>
  <Application>Yozo_Office</Application>
  <Pages>1</Pages>
  <Words>9</Words>
  <Characters>9</Characters>
  <Lines>1</Lines>
  <Paragraphs>1</Paragraphs>
  <CharactersWithSpaces>9</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吴超-海关总署税收征管局（上海）</dc:creator>
  <cp:lastModifiedBy>何可欣</cp:lastModifiedBy>
  <cp:revision>7</cp:revision>
  <dcterms:created xsi:type="dcterms:W3CDTF">2024-12-11T08:50:00Z</dcterms:created>
  <dcterms:modified xsi:type="dcterms:W3CDTF">2024-12-27T11:20:07Z</dcterms:modified>
</cp:coreProperties>
</file>