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rPr>
          <w:rFonts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附件</w:t>
      </w:r>
    </w:p>
    <w:p>
      <w:pPr>
        <w:pStyle w:val="2"/>
        <w:keepNext w:val="0"/>
        <w:keepLines w:val="0"/>
        <w:widowControl/>
        <w:suppressLineNumbers w:val="0"/>
        <w:spacing w:before="0" w:beforeAutospacing="0" w:after="375" w:afterAutospacing="0"/>
        <w:ind w:left="0" w:right="0" w:firstLine="0"/>
        <w:jc w:val="center"/>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上海自贸试验区闵行联动创新区建设方案重点任务分工</w:t>
      </w:r>
    </w:p>
    <w:tbl>
      <w:tblP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33"/>
        <w:gridCol w:w="4220"/>
        <w:gridCol w:w="1123"/>
        <w:gridCol w:w="1104"/>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3" w:hRule="atLeast"/>
          <w:jc w:val="center"/>
        </w:trPr>
        <w:tc>
          <w:tcPr>
            <w:tcW w:w="268" w:type="pct"/>
            <w:tcBorders>
              <w:top w:val="single" w:color="000000" w:sz="6" w:space="0"/>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bookmarkStart w:id="0" w:name="_GoBack"/>
            <w:r>
              <w:rPr>
                <w:rStyle w:val="5"/>
                <w:rFonts w:hint="eastAsia" w:ascii="微软雅黑" w:hAnsi="微软雅黑" w:eastAsia="微软雅黑" w:cs="微软雅黑"/>
                <w:b/>
                <w:bCs/>
                <w:i w:val="0"/>
                <w:iCs w:val="0"/>
                <w:caps w:val="0"/>
                <w:color w:val="424242"/>
                <w:spacing w:val="0"/>
                <w:sz w:val="27"/>
                <w:szCs w:val="27"/>
              </w:rPr>
              <w:t>序号</w:t>
            </w:r>
          </w:p>
        </w:tc>
        <w:tc>
          <w:tcPr>
            <w:tcW w:w="2487"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Style w:val="5"/>
                <w:rFonts w:hint="eastAsia" w:ascii="微软雅黑" w:hAnsi="微软雅黑" w:eastAsia="微软雅黑" w:cs="微软雅黑"/>
                <w:b/>
                <w:bCs/>
                <w:i w:val="0"/>
                <w:iCs w:val="0"/>
                <w:caps w:val="0"/>
                <w:color w:val="424242"/>
                <w:spacing w:val="0"/>
                <w:sz w:val="27"/>
                <w:szCs w:val="27"/>
              </w:rPr>
              <w:t>任务内容</w:t>
            </w:r>
          </w:p>
        </w:tc>
        <w:tc>
          <w:tcPr>
            <w:tcW w:w="670"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Style w:val="5"/>
                <w:rFonts w:hint="eastAsia" w:ascii="微软雅黑" w:hAnsi="微软雅黑" w:eastAsia="微软雅黑" w:cs="微软雅黑"/>
                <w:b/>
                <w:bCs/>
                <w:i w:val="0"/>
                <w:iCs w:val="0"/>
                <w:caps w:val="0"/>
                <w:color w:val="424242"/>
                <w:spacing w:val="0"/>
                <w:sz w:val="27"/>
                <w:szCs w:val="27"/>
              </w:rPr>
              <w:t>时间节点</w:t>
            </w:r>
          </w:p>
        </w:tc>
        <w:tc>
          <w:tcPr>
            <w:tcW w:w="659"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Style w:val="5"/>
                <w:rFonts w:hint="eastAsia" w:ascii="微软雅黑" w:hAnsi="微软雅黑" w:eastAsia="微软雅黑" w:cs="微软雅黑"/>
                <w:b/>
                <w:bCs/>
                <w:i w:val="0"/>
                <w:iCs w:val="0"/>
                <w:caps w:val="0"/>
                <w:color w:val="424242"/>
                <w:spacing w:val="0"/>
                <w:sz w:val="27"/>
                <w:szCs w:val="27"/>
              </w:rPr>
              <w:t>牵头单位</w:t>
            </w:r>
          </w:p>
        </w:tc>
        <w:tc>
          <w:tcPr>
            <w:tcW w:w="914" w:type="pct"/>
            <w:tcBorders>
              <w:top w:val="single" w:color="000000" w:sz="6" w:space="0"/>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Style w:val="5"/>
                <w:rFonts w:hint="eastAsia" w:ascii="微软雅黑" w:hAnsi="微软雅黑" w:eastAsia="微软雅黑" w:cs="微软雅黑"/>
                <w:b/>
                <w:bCs/>
                <w:i w:val="0"/>
                <w:iCs w:val="0"/>
                <w:caps w:val="0"/>
                <w:color w:val="424242"/>
                <w:spacing w:val="0"/>
                <w:sz w:val="27"/>
                <w:szCs w:val="27"/>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提升虹桥商务区保税物流中心（B型）能级。推进落地保税展示交易货物分线监管、跨关区保税展示交易等创新业务；支持虹桥商务区保税物流中心（B型）与综合保税区联动发展。</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莘庄海关、</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龙吴海关</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区商务委、</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临港浦江国际科技城、南虹桥集团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7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拓展公用型保税仓库功能。支持依托海关特殊监管区域或保税物流中心（B型），实现网购保税进口商品可以在同一区域（中心）内的企业间进行流转，网购保税进口商品和进境保税货物在满足监管条件下可以进行互转。支持特定商品延长保税仓库存储期限。</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莘庄海关</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区商务委、</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龙吴海关、</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莘庄工业区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3</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支持企业申请AEO认证。依托闵行区AEO认证指导中心，支持更多符合条件的区域内企业申请成为海关高级认证企业。</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区商务委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莘庄海关、龙吴海关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4</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开展离岸经贸业务。支持区域内更多企业纳入“离岸经贸业务企业名单”，对接“跨境通”“离岸通”平台开展业务。</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区商务委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5</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探索医疗服务贸易创新。支持新虹桥国际医学园区社会办医机构与市级公立医院深化合作，加强设施设备、医疗服务网络优势资源互补。</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区卫生健康委、</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新虹桥国际医学中心</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6</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支持科研仪器设备共享。探索建立“大零号湾”科技创新策源功能区和张江科学城科研仪器设备共享清单。</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区科委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大零号湾集团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7</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促进高端装备领域跨区域产业合作。在航空航天、船舶动力等高端装备领域，试点“闵行总部研发+临港产业化试验验证”跨区域合作模式。</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区经委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1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8</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促进低空经济产业联动发展。探索与临港新片区联动开展eVTOL适航取证、适飞交付、整机和零部件出口、飞行员培训等工作。</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区经委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大零号湾集团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9</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推动重点领域专利快速审查。支持与中国（浦东）知识产权保护中心联动，推进高端装备、生物医药、人工智能等重点领域专利快速审查。</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区市场监管局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4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10</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试点缩短药品临床试验审批时限。支持在区域内建设闵行区药品审评核查服务中心。争取试点实施“药品补充申请审评时限从200日压缩至60日、药品临床试验审批时限从60日压缩至30日”等国家创新试点。</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区市场监管局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区卫生健康委、区科委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11</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完善境外投资项目综合服务。支持依托本市现有的市区联动综合服务机制，建立境外投资项目储备库，加强对区域内企业的境外投资政策辅导。</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区发展改革委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8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12</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深化商事登记制度改革。在区域内试点推广企业住所集中登记地制度改革。</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区市场监管局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13</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扩大跨境贸易投资高水平开放试点。针对区域内优质企业单笔等值5万美元以上的服务贸易等项目外汇支出，允许事后核验《服务贸易等项目对外支付税务备案表》。</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区财政局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14</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深化跨境资金池试点。支持区域内企业开设与其发展需要相适应的跨境资金池，集中运营管理境内外本外币资金。</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区财政局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5"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15</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拓宽科创企业融资渠道。支持在区域内推广科创企业票据融资新模式，鼓励知识产权质押融资模式创新。</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区财政局、</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区市场监管局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区科委、</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大零号湾集团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6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16</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深化混合用地探索。在区域内试点实行混合用地、综合用地、创新型产业用地等政策，打造科研、办公、成果应用展示等模式混合利用的代表性项目，形成产业链“上楼”的实践案例。</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2024年底前完成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区规划资源局、</w:t>
            </w:r>
          </w:p>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区经委</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17</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定向优化应届高校毕业生落户政策。赋予闵行区引进非上海生源应届高校毕业生落户重点扶持用人单位推荐权，用于推荐区域内新型国际贸易和高端智能制造领域重点企业。</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区教育局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rPr>
                <w:color w:val="424242"/>
                <w:sz w:val="27"/>
                <w:szCs w:val="27"/>
              </w:rPr>
            </w:pPr>
            <w:r>
              <w:rPr>
                <w:rFonts w:hint="eastAsia" w:ascii="微软雅黑" w:hAnsi="微软雅黑" w:eastAsia="微软雅黑" w:cs="微软雅黑"/>
                <w:i w:val="0"/>
                <w:iCs w:val="0"/>
                <w:caps w:val="0"/>
                <w:color w:val="424242"/>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18</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提升外籍人才出入境和来华工作便利化水平。支持为赴区域内开展交流、访问、商贸等活动的外籍人才签证提供便利化服务。支持区域内重点企业引进的外籍科技人才申请最长五年的工作类居留许可。</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区公安分局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区人才局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0" w:hRule="atLeast"/>
          <w:jc w:val="center"/>
        </w:trPr>
        <w:tc>
          <w:tcPr>
            <w:tcW w:w="268" w:type="pct"/>
            <w:tcBorders>
              <w:top w:val="nil"/>
              <w:left w:val="single" w:color="000000" w:sz="6" w:space="0"/>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19</w:t>
            </w:r>
          </w:p>
        </w:tc>
        <w:tc>
          <w:tcPr>
            <w:tcW w:w="2487"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试点数据跨境流动。配合研究制定人力资源服务领域数据跨境场景化指导文件。</w:t>
            </w:r>
          </w:p>
        </w:tc>
        <w:tc>
          <w:tcPr>
            <w:tcW w:w="670"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2025年底前完成</w:t>
            </w:r>
          </w:p>
        </w:tc>
        <w:tc>
          <w:tcPr>
            <w:tcW w:w="659"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区人力资源社会保障局</w:t>
            </w:r>
          </w:p>
        </w:tc>
        <w:tc>
          <w:tcPr>
            <w:tcW w:w="914" w:type="pct"/>
            <w:tcBorders>
              <w:top w:val="nil"/>
              <w:left w:val="nil"/>
              <w:bottom w:val="single" w:color="000000" w:sz="6" w:space="0"/>
              <w:right w:val="single" w:color="000000" w:sz="6"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375" w:afterAutospacing="0"/>
              <w:ind w:left="0" w:right="0"/>
              <w:jc w:val="center"/>
              <w:textAlignment w:val="center"/>
              <w:rPr>
                <w:color w:val="424242"/>
                <w:sz w:val="27"/>
                <w:szCs w:val="27"/>
              </w:rPr>
            </w:pPr>
            <w:r>
              <w:rPr>
                <w:rFonts w:hint="eastAsia" w:ascii="微软雅黑" w:hAnsi="微软雅黑" w:eastAsia="微软雅黑" w:cs="微软雅黑"/>
                <w:i w:val="0"/>
                <w:iCs w:val="0"/>
                <w:caps w:val="0"/>
                <w:color w:val="424242"/>
                <w:spacing w:val="0"/>
                <w:sz w:val="27"/>
                <w:szCs w:val="27"/>
              </w:rPr>
              <w:t>区委网信办、区数据局</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M3NjIwYTZkNzI3ZGIxNjkxZmQ4NmZkM2E3NjEifQ=="/>
    <w:docVar w:name="KSO_WPS_MARK_KEY" w:val="ccded21d-9325-43eb-9395-0b5c3e9ea8fe"/>
  </w:docVars>
  <w:rsids>
    <w:rsidRoot w:val="4A167237"/>
    <w:rsid w:val="4A16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1619</Words>
  <Characters>1699</Characters>
  <Lines>0</Lines>
  <Paragraphs>0</Paragraphs>
  <TotalTime>0</TotalTime>
  <ScaleCrop>false</ScaleCrop>
  <LinksUpToDate>false</LinksUpToDate>
  <CharactersWithSpaces>1705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2024-11-08T06:14:00Z</dcterms:created>
  <dc:creator>快乐可爱的喵小咪</dc:creator>
  <cp:lastModifiedBy>快乐可爱的喵小咪</cp:lastModifiedBy>
  <dcterms:modified xsi:type="dcterms:W3CDTF">2024-11-08T06:15:17Z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4481C8FE18974F0381382D8626908B5C_11</vt:lpwstr>
  </property>
</Properties>
</file>