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温馨提示</w:t>
      </w:r>
    </w:p>
    <w:p>
      <w:pPr>
        <w:jc w:val="left"/>
        <w:rPr>
          <w:rFonts w:hint="eastAsia" w:ascii="宋体"/>
          <w:szCs w:val="21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尊敬的纳税人：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请您在发布简易注销公告前，认真阅读、了解以下内容：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一、如果您已开展生产经营活动，请您及时到税务机关结清应纳税款、缴销发票及办理其他清税手续。如果您在公告期届满时未完成注销清税手续的，税务机关将向企业登记机关提出异议。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二、按照企业简易注销登记改革相关规定，自公告期届满次日起，未被提出异议的企业，除应尽未尽的义务外（如申报纳税），不得持营业执照办理相关涉税事宜。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符合以下情形的企业，可正常办理涉税事宜：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（一）已撤销简易注销公告的；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（二）已向企业登记机关提出简易注销申请，企业登记机关依法作出不予简易注销决定的。</w:t>
      </w:r>
    </w:p>
    <w:p>
      <w:pPr>
        <w:ind w:firstLine="5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如果您在办理简易注销过程中有任何疑问，请与您的主管税务机关或者企业登记机关联系。</w:t>
      </w:r>
    </w:p>
    <w:p>
      <w:pPr>
        <w:spacing w:line="360" w:lineRule="auto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3243E"/>
    <w:rsid w:val="25B3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2018-01-23T06:28:00Z</dcterms:created>
  <dc:creator>user</dc:creator>
  <cp:lastModifiedBy>user</cp:lastModifiedBy>
  <dcterms:modified xsi:type="dcterms:W3CDTF">2018-01-23T06:29:15Z</dcterms:modified>
  <dc:title>附件3            温馨提示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